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6834" w:w="11909" w:orient="portrait"/>
          <w:pgMar w:bottom="1440" w:top="1440" w:left="1440" w:right="1440" w:header="720" w:footer="720"/>
          <w:pgNumType w:start="1"/>
        </w:sectPr>
      </w:pPr>
      <w:bookmarkStart w:colFirst="0" w:colLast="0" w:name="_f0b4501u13lh" w:id="0"/>
      <w:bookmarkEnd w:id="0"/>
      <w:r w:rsidDel="00000000" w:rsidR="00000000" w:rsidRPr="00000000">
        <w:rPr>
          <w:rFonts w:ascii="Roboto Medium" w:cs="Roboto Medium" w:eastAsia="Roboto Medium" w:hAnsi="Roboto Medium"/>
          <w:b w:val="0"/>
          <w:i w:val="0"/>
          <w:smallCaps w:val="0"/>
          <w:strike w:val="0"/>
          <w:color w:val="303030"/>
          <w:sz w:val="64"/>
          <w:szCs w:val="64"/>
          <w:u w:val="none"/>
          <w:shd w:fill="auto" w:val="clear"/>
          <w:vertAlign w:val="baseline"/>
          <w:rtl w:val="0"/>
        </w:rPr>
        <w:t xml:space="preserve">📝 Notas</w:t>
      </w:r>
      <w:r w:rsidDel="00000000" w:rsidR="00000000" w:rsidRPr="00000000">
        <w:rPr>
          <w:rtl w:val="0"/>
        </w:rPr>
      </w:r>
    </w:p>
    <w:p w:rsidR="00000000" w:rsidDel="00000000" w:rsidP="00000000" w:rsidRDefault="00000000" w:rsidRPr="00000000" w14:paraId="00000002">
      <w:pPr>
        <w:rPr>
          <w:color w:val="062e6f"/>
          <w:shd w:fill="d6eaff" w:val="clear"/>
        </w:rPr>
      </w:pPr>
      <w:r w:rsidDel="00000000" w:rsidR="00000000" w:rsidRPr="00000000">
        <w:rPr>
          <w:color w:val="062e6f"/>
          <w:shd w:fill="d6eaff" w:val="clear"/>
          <w:rtl w:val="0"/>
        </w:rPr>
        <w:t xml:space="preserve">21 jul 2025</w:t>
      </w:r>
      <w:r w:rsidDel="00000000" w:rsidR="00000000" w:rsidRPr="00000000">
        <w:rPr>
          <w:rtl w:val="0"/>
        </w:rPr>
      </w:r>
    </w:p>
    <w:p w:rsidR="00000000" w:rsidDel="00000000" w:rsidP="00000000" w:rsidRDefault="00000000" w:rsidRPr="00000000" w14:paraId="00000003">
      <w:pPr>
        <w:pStyle w:val="Heading2"/>
        <w:rPr/>
      </w:pPr>
      <w:bookmarkStart w:colFirst="0" w:colLast="0" w:name="_cgx319pee5u9" w:id="1"/>
      <w:bookmarkEnd w:id="1"/>
      <w:r w:rsidDel="00000000" w:rsidR="00000000" w:rsidRPr="00000000">
        <w:rPr>
          <w:rtl w:val="0"/>
        </w:rPr>
        <w:t xml:space="preserve">Curso del mes: INFRACCIONES TRIBUTARIAS</w:t>
      </w:r>
    </w:p>
    <w:p w:rsidR="00000000" w:rsidDel="00000000" w:rsidP="00000000" w:rsidRDefault="00000000" w:rsidRPr="00000000" w14:paraId="00000004">
      <w:pPr>
        <w:rPr/>
      </w:pPr>
      <w:r w:rsidDel="00000000" w:rsidR="00000000" w:rsidRPr="00000000">
        <w:rPr>
          <w:rtl w:val="0"/>
        </w:rPr>
        <w:t xml:space="preserve">Invitados </w:t>
      </w:r>
      <w:hyperlink r:id="rId6">
        <w:r w:rsidDel="00000000" w:rsidR="00000000" w:rsidRPr="00000000">
          <w:rPr>
            <w:color w:val="0000ee"/>
            <w:u w:val="single"/>
            <w:rtl w:val="0"/>
          </w:rPr>
          <w:t xml:space="preserve">ysabelcoqui@gmail.com</w:t>
        </w:r>
      </w:hyperlink>
      <w:r w:rsidDel="00000000" w:rsidR="00000000" w:rsidRPr="00000000">
        <w:rPr>
          <w:rtl w:val="0"/>
        </w:rPr>
        <w:t xml:space="preserve"> </w:t>
      </w:r>
      <w:hyperlink r:id="rId7">
        <w:r w:rsidDel="00000000" w:rsidR="00000000" w:rsidRPr="00000000">
          <w:rPr>
            <w:color w:val="0000ee"/>
            <w:u w:val="single"/>
            <w:rtl w:val="0"/>
          </w:rPr>
          <w:t xml:space="preserve">ECAE Escuela Empresarial</w:t>
        </w:r>
      </w:hyperlink>
      <w:r w:rsidDel="00000000" w:rsidR="00000000" w:rsidRPr="00000000">
        <w:rPr>
          <w:rtl w:val="0"/>
        </w:rPr>
        <w:t xml:space="preserve"> </w:t>
      </w:r>
      <w:hyperlink r:id="rId8">
        <w:r w:rsidDel="00000000" w:rsidR="00000000" w:rsidRPr="00000000">
          <w:rPr>
            <w:color w:val="0000ee"/>
            <w:u w:val="single"/>
            <w:rtl w:val="0"/>
          </w:rPr>
          <w:t xml:space="preserve">estudio.caroarevalo@gmail.com</w:t>
        </w:r>
      </w:hyperlink>
      <w:r w:rsidDel="00000000" w:rsidR="00000000" w:rsidRPr="00000000">
        <w:rPr>
          <w:rtl w:val="0"/>
        </w:rPr>
        <w:t xml:space="preserve"> </w:t>
      </w:r>
      <w:hyperlink r:id="rId9">
        <w:r w:rsidDel="00000000" w:rsidR="00000000" w:rsidRPr="00000000">
          <w:rPr>
            <w:color w:val="0000ee"/>
            <w:u w:val="single"/>
            <w:rtl w:val="0"/>
          </w:rPr>
          <w:t xml:space="preserve">loyolanavarrogabriela@gmail.com</w:t>
        </w:r>
      </w:hyperlink>
      <w:r w:rsidDel="00000000" w:rsidR="00000000" w:rsidRPr="00000000">
        <w:rPr>
          <w:rtl w:val="0"/>
        </w:rPr>
        <w:t xml:space="preserve"> </w:t>
      </w:r>
      <w:hyperlink r:id="rId10">
        <w:r w:rsidDel="00000000" w:rsidR="00000000" w:rsidRPr="00000000">
          <w:rPr>
            <w:color w:val="0000ee"/>
            <w:u w:val="single"/>
            <w:rtl w:val="0"/>
          </w:rPr>
          <w:t xml:space="preserve">giovanna.ramosll21@gmail.com</w:t>
        </w:r>
      </w:hyperlink>
      <w:r w:rsidDel="00000000" w:rsidR="00000000" w:rsidRPr="00000000">
        <w:rPr>
          <w:rtl w:val="0"/>
        </w:rPr>
        <w:t xml:space="preserve"> </w:t>
      </w:r>
      <w:hyperlink r:id="rId11">
        <w:r w:rsidDel="00000000" w:rsidR="00000000" w:rsidRPr="00000000">
          <w:rPr>
            <w:color w:val="0000ee"/>
            <w:u w:val="single"/>
            <w:rtl w:val="0"/>
          </w:rPr>
          <w:t xml:space="preserve">cesiachuquino@gmail.com</w:t>
        </w:r>
      </w:hyperlink>
      <w:r w:rsidDel="00000000" w:rsidR="00000000" w:rsidRPr="00000000">
        <w:rPr>
          <w:rtl w:val="0"/>
        </w:rPr>
        <w:t xml:space="preserve"> </w:t>
      </w:r>
      <w:hyperlink r:id="rId12">
        <w:r w:rsidDel="00000000" w:rsidR="00000000" w:rsidRPr="00000000">
          <w:rPr>
            <w:color w:val="0000ee"/>
            <w:u w:val="single"/>
            <w:rtl w:val="0"/>
          </w:rPr>
          <w:t xml:space="preserve">Erick Daniel Espejo Diez</w:t>
        </w:r>
      </w:hyperlink>
      <w:r w:rsidDel="00000000" w:rsidR="00000000" w:rsidRPr="00000000">
        <w:rPr>
          <w:rtl w:val="0"/>
        </w:rPr>
        <w:t xml:space="preserve"> </w:t>
      </w:r>
      <w:hyperlink r:id="rId13">
        <w:r w:rsidDel="00000000" w:rsidR="00000000" w:rsidRPr="00000000">
          <w:rPr>
            <w:color w:val="0000ee"/>
            <w:u w:val="single"/>
            <w:rtl w:val="0"/>
          </w:rPr>
          <w:t xml:space="preserve">pmilagros.979@gmail.com</w:t>
        </w:r>
      </w:hyperlink>
      <w:r w:rsidDel="00000000" w:rsidR="00000000" w:rsidRPr="00000000">
        <w:rPr>
          <w:rtl w:val="0"/>
        </w:rPr>
        <w:t xml:space="preserve"> </w:t>
      </w:r>
      <w:hyperlink r:id="rId14">
        <w:r w:rsidDel="00000000" w:rsidR="00000000" w:rsidRPr="00000000">
          <w:rPr>
            <w:color w:val="0000ee"/>
            <w:u w:val="single"/>
            <w:rtl w:val="0"/>
          </w:rPr>
          <w:t xml:space="preserve">cbarrenechea105@gmail.com</w:t>
        </w:r>
      </w:hyperlink>
      <w:r w:rsidDel="00000000" w:rsidR="00000000" w:rsidRPr="00000000">
        <w:rPr>
          <w:rtl w:val="0"/>
        </w:rPr>
        <w:t xml:space="preserve"> </w:t>
      </w:r>
      <w:hyperlink r:id="rId15">
        <w:r w:rsidDel="00000000" w:rsidR="00000000" w:rsidRPr="00000000">
          <w:rPr>
            <w:color w:val="0000ee"/>
            <w:u w:val="single"/>
            <w:rtl w:val="0"/>
          </w:rPr>
          <w:t xml:space="preserve">gabrielquisocala@gmail.com</w:t>
        </w:r>
      </w:hyperlink>
      <w:r w:rsidDel="00000000" w:rsidR="00000000" w:rsidRPr="00000000">
        <w:rPr>
          <w:rtl w:val="0"/>
        </w:rPr>
        <w:t xml:space="preserve"> </w:t>
      </w:r>
      <w:hyperlink r:id="rId16">
        <w:r w:rsidDel="00000000" w:rsidR="00000000" w:rsidRPr="00000000">
          <w:rPr>
            <w:color w:val="0000ee"/>
            <w:u w:val="single"/>
            <w:rtl w:val="0"/>
          </w:rPr>
          <w:t xml:space="preserve">leivinacuna@gmail.com</w:t>
        </w:r>
      </w:hyperlink>
      <w:r w:rsidDel="00000000" w:rsidR="00000000" w:rsidRPr="00000000">
        <w:rPr>
          <w:rtl w:val="0"/>
        </w:rPr>
        <w:t xml:space="preserve"> </w:t>
      </w:r>
      <w:hyperlink r:id="rId17">
        <w:r w:rsidDel="00000000" w:rsidR="00000000" w:rsidRPr="00000000">
          <w:rPr>
            <w:color w:val="0000ee"/>
            <w:u w:val="single"/>
            <w:rtl w:val="0"/>
          </w:rPr>
          <w:t xml:space="preserve">jcpa.capacitaconta@gmail.com</w:t>
        </w:r>
      </w:hyperlink>
      <w:r w:rsidDel="00000000" w:rsidR="00000000" w:rsidRPr="00000000">
        <w:rPr>
          <w:rtl w:val="0"/>
        </w:rPr>
        <w:t xml:space="preserve"> </w:t>
      </w:r>
      <w:hyperlink r:id="rId18">
        <w:r w:rsidDel="00000000" w:rsidR="00000000" w:rsidRPr="00000000">
          <w:rPr>
            <w:color w:val="0000ee"/>
            <w:u w:val="single"/>
            <w:rtl w:val="0"/>
          </w:rPr>
          <w:t xml:space="preserve">andreadel.2017@gmail.com</w:t>
        </w:r>
      </w:hyperlink>
      <w:r w:rsidDel="00000000" w:rsidR="00000000" w:rsidRPr="00000000">
        <w:rPr>
          <w:rtl w:val="0"/>
        </w:rPr>
        <w:t xml:space="preserve"> </w:t>
      </w:r>
      <w:hyperlink r:id="rId19">
        <w:r w:rsidDel="00000000" w:rsidR="00000000" w:rsidRPr="00000000">
          <w:rPr>
            <w:color w:val="0000ee"/>
            <w:u w:val="single"/>
            <w:rtl w:val="0"/>
          </w:rPr>
          <w:t xml:space="preserve">jennifer.1321@hotmail.com</w:t>
        </w:r>
      </w:hyperlink>
      <w:r w:rsidDel="00000000" w:rsidR="00000000" w:rsidRPr="00000000">
        <w:rPr>
          <w:rtl w:val="0"/>
        </w:rPr>
        <w:t xml:space="preserve"> </w:t>
      </w:r>
      <w:hyperlink r:id="rId20">
        <w:r w:rsidDel="00000000" w:rsidR="00000000" w:rsidRPr="00000000">
          <w:rPr>
            <w:color w:val="0000ee"/>
            <w:u w:val="single"/>
            <w:rtl w:val="0"/>
          </w:rPr>
          <w:t xml:space="preserve">lily.guerrero.m@gmail.com</w:t>
        </w:r>
      </w:hyperlink>
      <w:r w:rsidDel="00000000" w:rsidR="00000000" w:rsidRPr="00000000">
        <w:rPr>
          <w:rtl w:val="0"/>
        </w:rPr>
        <w:t xml:space="preserve"> </w:t>
      </w:r>
      <w:hyperlink r:id="rId21">
        <w:r w:rsidDel="00000000" w:rsidR="00000000" w:rsidRPr="00000000">
          <w:rPr>
            <w:color w:val="0000ee"/>
            <w:u w:val="single"/>
            <w:rtl w:val="0"/>
          </w:rPr>
          <w:t xml:space="preserve">Jorgeluislozanoramirez17@gmail.com</w:t>
        </w:r>
      </w:hyperlink>
      <w:r w:rsidDel="00000000" w:rsidR="00000000" w:rsidRPr="00000000">
        <w:rPr>
          <w:rtl w:val="0"/>
        </w:rPr>
        <w:t xml:space="preserve"> </w:t>
      </w:r>
      <w:hyperlink r:id="rId22">
        <w:r w:rsidDel="00000000" w:rsidR="00000000" w:rsidRPr="00000000">
          <w:rPr>
            <w:color w:val="0000ee"/>
            <w:u w:val="single"/>
            <w:rtl w:val="0"/>
          </w:rPr>
          <w:t xml:space="preserve">informes.censea@gmail.com</w:t>
        </w:r>
      </w:hyperlink>
      <w:r w:rsidDel="00000000" w:rsidR="00000000" w:rsidRPr="00000000">
        <w:rPr>
          <w:rtl w:val="0"/>
        </w:rPr>
        <w:t xml:space="preserve"> </w:t>
      </w:r>
      <w:hyperlink r:id="rId23">
        <w:r w:rsidDel="00000000" w:rsidR="00000000" w:rsidRPr="00000000">
          <w:rPr>
            <w:color w:val="0000ee"/>
            <w:u w:val="single"/>
            <w:rtl w:val="0"/>
          </w:rPr>
          <w:t xml:space="preserve">Giovanna Moreno</w:t>
        </w:r>
      </w:hyperlink>
      <w:r w:rsidDel="00000000" w:rsidR="00000000" w:rsidRPr="00000000">
        <w:rPr>
          <w:rtl w:val="0"/>
        </w:rPr>
        <w:t xml:space="preserve"> </w:t>
      </w:r>
      <w:hyperlink r:id="rId24">
        <w:r w:rsidDel="00000000" w:rsidR="00000000" w:rsidRPr="00000000">
          <w:rPr>
            <w:color w:val="0000ee"/>
            <w:u w:val="single"/>
            <w:rtl w:val="0"/>
          </w:rPr>
          <w:t xml:space="preserve">lilianaylaitaquispe@gmail.com</w:t>
        </w:r>
      </w:hyperlink>
      <w:r w:rsidDel="00000000" w:rsidR="00000000" w:rsidRPr="00000000">
        <w:rPr>
          <w:rtl w:val="0"/>
        </w:rPr>
        <w:t xml:space="preserve"> </w:t>
      </w:r>
      <w:hyperlink r:id="rId25">
        <w:r w:rsidDel="00000000" w:rsidR="00000000" w:rsidRPr="00000000">
          <w:rPr>
            <w:color w:val="0000ee"/>
            <w:u w:val="single"/>
            <w:rtl w:val="0"/>
          </w:rPr>
          <w:t xml:space="preserve">cpcjrondanv01@gmail.com</w:t>
        </w:r>
      </w:hyperlink>
      <w:r w:rsidDel="00000000" w:rsidR="00000000" w:rsidRPr="00000000">
        <w:rPr>
          <w:rtl w:val="0"/>
        </w:rPr>
        <w:t xml:space="preserve"> </w:t>
      </w:r>
      <w:hyperlink r:id="rId26">
        <w:r w:rsidDel="00000000" w:rsidR="00000000" w:rsidRPr="00000000">
          <w:rPr>
            <w:color w:val="0000ee"/>
            <w:u w:val="single"/>
            <w:rtl w:val="0"/>
          </w:rPr>
          <w:t xml:space="preserve">GISELLASOTOGONZALES@gmail.com</w:t>
        </w:r>
      </w:hyperlink>
      <w:r w:rsidDel="00000000" w:rsidR="00000000" w:rsidRPr="00000000">
        <w:rPr>
          <w:rtl w:val="0"/>
        </w:rPr>
        <w:t xml:space="preserve"> </w:t>
      </w:r>
      <w:hyperlink r:id="rId27">
        <w:r w:rsidDel="00000000" w:rsidR="00000000" w:rsidRPr="00000000">
          <w:rPr>
            <w:color w:val="0000ee"/>
            <w:u w:val="single"/>
            <w:rtl w:val="0"/>
          </w:rPr>
          <w:t xml:space="preserve">jenny.huanay28@gmail.com</w:t>
        </w:r>
      </w:hyperlink>
      <w:r w:rsidDel="00000000" w:rsidR="00000000" w:rsidRPr="00000000">
        <w:rPr>
          <w:rtl w:val="0"/>
        </w:rPr>
        <w:t xml:space="preserve"> </w:t>
      </w:r>
      <w:hyperlink r:id="rId28">
        <w:r w:rsidDel="00000000" w:rsidR="00000000" w:rsidRPr="00000000">
          <w:rPr>
            <w:color w:val="0000ee"/>
            <w:u w:val="single"/>
            <w:rtl w:val="0"/>
          </w:rPr>
          <w:t xml:space="preserve">ConticostosRejas@gmail.com</w:t>
        </w:r>
      </w:hyperlink>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Archivos adjuntos </w:t>
      </w:r>
      <w:hyperlink r:id="rId29">
        <w:r w:rsidDel="00000000" w:rsidR="00000000" w:rsidRPr="00000000">
          <w:rPr>
            <w:color w:val="0000ee"/>
            <w:u w:val="single"/>
            <w:rtl w:val="0"/>
          </w:rPr>
          <w:t xml:space="preserve">Curso del mes: INFRACCIONES TRIBUTARIAS</w:t>
        </w:r>
      </w:hyperlink>
      <w:r w:rsidDel="00000000" w:rsidR="00000000" w:rsidRPr="00000000">
        <w:rPr>
          <w:rtl w:val="0"/>
        </w:rPr>
        <w:t xml:space="preserve"> </w:t>
      </w:r>
    </w:p>
    <w:p w:rsidR="00000000" w:rsidDel="00000000" w:rsidP="00000000" w:rsidRDefault="00000000" w:rsidRPr="00000000" w14:paraId="00000006">
      <w:pPr>
        <w:rPr/>
      </w:pPr>
      <w:r w:rsidDel="00000000" w:rsidR="00000000" w:rsidRPr="00000000">
        <w:rPr>
          <w:rtl w:val="0"/>
        </w:rPr>
        <w:t xml:space="preserve">Registros de la reunión </w:t>
      </w:r>
      <w:hyperlink r:id="rId30">
        <w:r w:rsidDel="00000000" w:rsidR="00000000" w:rsidRPr="00000000">
          <w:rPr>
            <w:color w:val="0000ee"/>
            <w:u w:val="single"/>
            <w:rtl w:val="0"/>
          </w:rPr>
          <w:t xml:space="preserve">Grabación</w:t>
        </w:r>
      </w:hyperlink>
      <w:r w:rsidDel="00000000" w:rsidR="00000000" w:rsidRPr="00000000">
        <w:rPr>
          <w:rtl w:val="0"/>
        </w:rPr>
        <w:t xml:space="preserve">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pStyle w:val="Heading3"/>
        <w:rPr/>
      </w:pPr>
      <w:bookmarkStart w:colFirst="0" w:colLast="0" w:name="_h2t3aoyzv1b1" w:id="2"/>
      <w:bookmarkEnd w:id="2"/>
      <w:r w:rsidDel="00000000" w:rsidR="00000000" w:rsidRPr="00000000">
        <w:rPr>
          <w:rtl w:val="0"/>
        </w:rPr>
        <w:t xml:space="preserve">Resumen</w:t>
      </w:r>
    </w:p>
    <w:p w:rsidR="00000000" w:rsidDel="00000000" w:rsidP="00000000" w:rsidRDefault="00000000" w:rsidRPr="00000000" w14:paraId="00000009">
      <w:pPr>
        <w:spacing w:after="0" w:lineRule="auto"/>
        <w:rPr>
          <w:sz w:val="28"/>
          <w:szCs w:val="28"/>
        </w:rPr>
      </w:pPr>
      <w:r w:rsidDel="00000000" w:rsidR="00000000" w:rsidRPr="00000000">
        <w:rPr>
          <w:sz w:val="28"/>
          <w:szCs w:val="28"/>
          <w:rtl w:val="0"/>
        </w:rPr>
        <w:t xml:space="preserve">ECAE Escuela Empresarial inició la sesión con Censea Fiscal, donde se abordaron las infracciones y sanciones tributarias, definiendo los ilícitos tributarios y su clasificación. Censea Fiscal detalló la naturaleza objetiva de las infracciones, los tipos regulados en el Código Tributario y el cálculo de multas. Se discutieron en profundidad las infracciones relacionadas con libros contables, especialmente los electrónicos, la facultad discrecional de SUNAT para su regularización y las implicaciones de su incumplimiento. Censea Fiscal también cubrió las declaraciones fuera de plazo en el RUS, las sanciones por incumplimiento de declaraciones y la obligatoriedad de llevar libros contables, además de responder a consultas sobre la baja de trabajadores y el balance de comprobación.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pStyle w:val="Heading3"/>
        <w:rPr/>
      </w:pPr>
      <w:bookmarkStart w:colFirst="0" w:colLast="0" w:name="_2mpfffg4plfu" w:id="3"/>
      <w:bookmarkEnd w:id="3"/>
      <w:r w:rsidDel="00000000" w:rsidR="00000000" w:rsidRPr="00000000">
        <w:rPr>
          <w:rtl w:val="0"/>
        </w:rPr>
        <w:t xml:space="preserve">Detalles</w:t>
      </w:r>
    </w:p>
    <w:p w:rsidR="00000000" w:rsidDel="00000000" w:rsidP="00000000" w:rsidRDefault="00000000" w:rsidRPr="00000000" w14:paraId="0000000C">
      <w:pPr>
        <w:numPr>
          <w:ilvl w:val="0"/>
          <w:numId w:val="1"/>
        </w:numPr>
        <w:spacing w:after="160" w:lineRule="auto"/>
        <w:ind w:left="720" w:hanging="360"/>
      </w:pPr>
      <w:r w:rsidDel="00000000" w:rsidR="00000000" w:rsidRPr="00000000">
        <w:rPr>
          <w:b w:val="1"/>
          <w:rtl w:val="0"/>
        </w:rPr>
        <w:t xml:space="preserve">Inicio de la Sesión y Conceptos Fundamentales</w:t>
      </w:r>
      <w:r w:rsidDel="00000000" w:rsidR="00000000" w:rsidRPr="00000000">
        <w:rPr>
          <w:rtl w:val="0"/>
        </w:rPr>
        <w:t xml:space="preserve"> ECAE Escuela Empresarial inició la grabación, cediendo la palabra a Censea Fiscal para comenzar la sesión sobre infracciones y sanciones tributarias. Censea Fiscal definió un ilícito tributario como toda conducta típica y antijurídica que contradice una norma tributaria, lo que lo hace susceptible de sanción. Explicó que los ilícitos tributarios pueden ser infracciones o delitos tributarios, con un enfoque principal en las infracciones durante la sesión.</w:t>
      </w:r>
    </w:p>
    <w:p w:rsidR="00000000" w:rsidDel="00000000" w:rsidP="00000000" w:rsidRDefault="00000000" w:rsidRPr="00000000" w14:paraId="0000000D">
      <w:pPr>
        <w:numPr>
          <w:ilvl w:val="0"/>
          <w:numId w:val="1"/>
        </w:numPr>
        <w:spacing w:after="160" w:lineRule="auto"/>
        <w:ind w:left="720" w:hanging="360"/>
      </w:pPr>
      <w:r w:rsidDel="00000000" w:rsidR="00000000" w:rsidRPr="00000000">
        <w:rPr>
          <w:b w:val="1"/>
          <w:rtl w:val="0"/>
        </w:rPr>
        <w:t xml:space="preserve">Naturaleza de las Infracciones Tributarias</w:t>
      </w:r>
      <w:r w:rsidDel="00000000" w:rsidR="00000000" w:rsidRPr="00000000">
        <w:rPr>
          <w:rtl w:val="0"/>
        </w:rPr>
        <w:t xml:space="preserve"> Censea Fiscal aclaró que una infracción tributaria es cualquier acción u omisión que viola las normas tributarias y está tipificada como tal en el Código Tributario o en otras leyes y decretos legislativos. Mencionó ejemplos de obligaciones cuya violación constituye infracción, como la inscripción ante SUNAT, la emisión de comprobantes de pago electrónicos, el llevado de libros y registros, y la presentación de declaraciones. También subrayó que las infracciones son objetivas, lo que significa que basta el incumplimiento para que se configuren, sin considerar la intencionalidad o negligencia, salvo excepciones.</w:t>
      </w:r>
    </w:p>
    <w:p w:rsidR="00000000" w:rsidDel="00000000" w:rsidP="00000000" w:rsidRDefault="00000000" w:rsidRPr="00000000" w14:paraId="0000000E">
      <w:pPr>
        <w:numPr>
          <w:ilvl w:val="0"/>
          <w:numId w:val="1"/>
        </w:numPr>
        <w:spacing w:after="160" w:lineRule="auto"/>
        <w:ind w:left="720" w:hanging="360"/>
      </w:pPr>
      <w:r w:rsidDel="00000000" w:rsidR="00000000" w:rsidRPr="00000000">
        <w:rPr>
          <w:b w:val="1"/>
          <w:rtl w:val="0"/>
        </w:rPr>
        <w:t xml:space="preserve">Tipos de Infracciones y su Regulación</w:t>
      </w:r>
      <w:r w:rsidDel="00000000" w:rsidR="00000000" w:rsidRPr="00000000">
        <w:rPr>
          <w:rtl w:val="0"/>
        </w:rPr>
        <w:t xml:space="preserve"> Censea Fiscal detalló los tipos de infracciones reguladas en el Código Tributario, como las relacionadas con la inscripción (Artículo 173), la emisión de comprobantes de pago (Artículo 174), el llevado de libros y registros (Artículo 175), y la presentación de declaraciones (Artículo 176). También se refirió a las infracciones vinculadas con permitir el control de la administración y el cumplimiento de obligaciones tributarias (Artículo 178). Señaló que existe una facultad sancionadora de la administración tributaria que incluye discrecionalidad y gradualidad.</w:t>
      </w:r>
    </w:p>
    <w:p w:rsidR="00000000" w:rsidDel="00000000" w:rsidP="00000000" w:rsidRDefault="00000000" w:rsidRPr="00000000" w14:paraId="0000000F">
      <w:pPr>
        <w:numPr>
          <w:ilvl w:val="0"/>
          <w:numId w:val="1"/>
        </w:numPr>
        <w:spacing w:after="160" w:lineRule="auto"/>
        <w:ind w:left="720" w:hanging="360"/>
      </w:pPr>
      <w:r w:rsidDel="00000000" w:rsidR="00000000" w:rsidRPr="00000000">
        <w:rPr>
          <w:b w:val="1"/>
          <w:rtl w:val="0"/>
        </w:rPr>
        <w:t xml:space="preserve">Sanciones Tributarias y su Cálculo</w:t>
      </w:r>
      <w:r w:rsidDel="00000000" w:rsidR="00000000" w:rsidRPr="00000000">
        <w:rPr>
          <w:rtl w:val="0"/>
        </w:rPr>
        <w:t xml:space="preserve"> Censea Fiscal explicó que las infracciones pueden acarrear sanciones como multas, comiso de bienes, internamiento temporal de vehículos o cierre temporal de establecimientos. Respecto a las multas, indicó que se basan en la UIT vigente a la fecha de la infracción o, si no es posible determinarla, a la fecha en que la administración la detectó. Además, introdujo el concepto de "IN" (ingresos netos) como base para el cálculo de algunas multas, considerando el total de ventas netas e ingresos gravables y no gravables del ejercicio anterior.</w:t>
      </w:r>
    </w:p>
    <w:p w:rsidR="00000000" w:rsidDel="00000000" w:rsidP="00000000" w:rsidRDefault="00000000" w:rsidRPr="00000000" w14:paraId="00000010">
      <w:pPr>
        <w:numPr>
          <w:ilvl w:val="0"/>
          <w:numId w:val="1"/>
        </w:numPr>
        <w:spacing w:after="160" w:lineRule="auto"/>
        <w:ind w:left="720" w:hanging="360"/>
      </w:pPr>
      <w:r w:rsidDel="00000000" w:rsidR="00000000" w:rsidRPr="00000000">
        <w:rPr>
          <w:b w:val="1"/>
          <w:rtl w:val="0"/>
        </w:rPr>
        <w:t xml:space="preserve">Características y Configuración de las Sanciones</w:t>
      </w:r>
      <w:r w:rsidDel="00000000" w:rsidR="00000000" w:rsidRPr="00000000">
        <w:rPr>
          <w:rtl w:val="0"/>
        </w:rPr>
        <w:t xml:space="preserve"> Censea Fiscal expuso las características de las sanciones tributarias, incluyendo su validez solo si están previamente establecidas por ley, su aplicación del principio de jurisdiccionalidad, su impugnabilidad (reclamación o apelación), y su intransmisibilidad. También mencionó el principio de irretroactividad de las normas que suprimen o reducen sanciones, y la aplicación de la sanción más grave si se incurre en dos o más infracciones por el mismo hecho. En cuanto a la configuración de las infracciones, señaló que pueden ser instantáneas o continuadas/permanentes.</w:t>
      </w:r>
    </w:p>
    <w:p w:rsidR="00000000" w:rsidDel="00000000" w:rsidP="00000000" w:rsidRDefault="00000000" w:rsidRPr="00000000" w14:paraId="00000011">
      <w:pPr>
        <w:numPr>
          <w:ilvl w:val="0"/>
          <w:numId w:val="1"/>
        </w:numPr>
        <w:spacing w:after="160" w:lineRule="auto"/>
        <w:ind w:left="720" w:hanging="360"/>
      </w:pPr>
      <w:r w:rsidDel="00000000" w:rsidR="00000000" w:rsidRPr="00000000">
        <w:rPr>
          <w:b w:val="1"/>
          <w:rtl w:val="0"/>
        </w:rPr>
        <w:t xml:space="preserve">Infracciones Relacionadas con Libros Contables</w:t>
      </w:r>
      <w:r w:rsidDel="00000000" w:rsidR="00000000" w:rsidRPr="00000000">
        <w:rPr>
          <w:rtl w:val="0"/>
        </w:rPr>
        <w:t xml:space="preserve"> Censea Fiscal abordó las infracciones por llevar libros con atraso, específicamente el numeral 5 del Artículo 175, que conlleva una sanción del 0.3% de los ingresos netos. Destacó la importancia de la gradualidad, que permite una rebaja en la multa, y la facultad discrecional de la SUNAT para no sancionar ciertas infracciones. También se refirió al numeral 10 del Artículo 175, incorporado en 2018, que sanciona el no registrar o anotar operaciones dentro de los plazos máximos de atraso o por montos inferiores en libros y registros electrónicos, con una sanción del 0.6% de los ingresos netos.</w:t>
      </w:r>
    </w:p>
    <w:p w:rsidR="00000000" w:rsidDel="00000000" w:rsidP="00000000" w:rsidRDefault="00000000" w:rsidRPr="00000000" w14:paraId="00000012">
      <w:pPr>
        <w:numPr>
          <w:ilvl w:val="0"/>
          <w:numId w:val="1"/>
        </w:numPr>
        <w:spacing w:after="160" w:lineRule="auto"/>
        <w:ind w:left="720" w:hanging="360"/>
      </w:pPr>
      <w:r w:rsidDel="00000000" w:rsidR="00000000" w:rsidRPr="00000000">
        <w:rPr>
          <w:b w:val="1"/>
          <w:rtl w:val="0"/>
        </w:rPr>
        <w:t xml:space="preserve">Consideraciones sobre la Multa por Libros Electrónicos</w:t>
      </w:r>
      <w:r w:rsidDel="00000000" w:rsidR="00000000" w:rsidRPr="00000000">
        <w:rPr>
          <w:rtl w:val="0"/>
        </w:rPr>
        <w:t xml:space="preserve"> Censea Fiscal explicó que la multa por infracciones relacionadas con libros electrónicos, según la nota 10 del Artículo 175, no puede ser menor al 10% de la UIT ni mayor al 25% de la misma. Mencionó una exposición de motivos que indicaba que la SUNAT introdujo esta infracción debido a la falta de presentación de libros electrónicos en 2017. Presentó ejemplos de cálculo de la multa en función de los ingresos netos, enfatizando que un cálculo incorrecto puede resultar en multas elevadas.</w:t>
      </w:r>
    </w:p>
    <w:p w:rsidR="00000000" w:rsidDel="00000000" w:rsidP="00000000" w:rsidRDefault="00000000" w:rsidRPr="00000000" w14:paraId="00000013">
      <w:pPr>
        <w:numPr>
          <w:ilvl w:val="0"/>
          <w:numId w:val="1"/>
        </w:numPr>
        <w:spacing w:after="160" w:lineRule="auto"/>
        <w:ind w:left="720" w:hanging="360"/>
      </w:pPr>
      <w:r w:rsidDel="00000000" w:rsidR="00000000" w:rsidRPr="00000000">
        <w:rPr>
          <w:b w:val="1"/>
          <w:rtl w:val="0"/>
        </w:rPr>
        <w:t xml:space="preserve">Regulación de la Facultad Discrecional para Libros Electrónicos</w:t>
      </w:r>
      <w:r w:rsidDel="00000000" w:rsidR="00000000" w:rsidRPr="00000000">
        <w:rPr>
          <w:rtl w:val="0"/>
        </w:rPr>
        <w:t xml:space="preserve"> Censea Fiscal hizo hincapié en la facultad discrecional de la SUNAT, establecida en 2020, que permite no sancionar el no llevar libros electrónicos, siempre que se regularice antes de la detección por parte de la administración. Explicó que esta facultad se amplió para incluir infracciones configuradas en periodos específicos de 2025 y prorrogó el plazo para subsanar y realizar ajustes en el SIRE hasta el 31 de julio de 2025. También se refirió a un informe que establece que registrar una factura fuera de plazo puede configurar una infracción.</w:t>
      </w:r>
    </w:p>
    <w:p w:rsidR="00000000" w:rsidDel="00000000" w:rsidP="00000000" w:rsidRDefault="00000000" w:rsidRPr="00000000" w14:paraId="00000014">
      <w:pPr>
        <w:numPr>
          <w:ilvl w:val="0"/>
          <w:numId w:val="1"/>
        </w:numPr>
        <w:spacing w:after="160" w:lineRule="auto"/>
        <w:ind w:left="720" w:hanging="360"/>
      </w:pPr>
      <w:r w:rsidDel="00000000" w:rsidR="00000000" w:rsidRPr="00000000">
        <w:rPr>
          <w:b w:val="1"/>
          <w:rtl w:val="0"/>
        </w:rPr>
        <w:t xml:space="preserve">Implicaciones del No Llevado de Libros Electrónicos</w:t>
      </w:r>
      <w:r w:rsidDel="00000000" w:rsidR="00000000" w:rsidRPr="00000000">
        <w:rPr>
          <w:rtl w:val="0"/>
        </w:rPr>
        <w:t xml:space="preserve"> Censea Fiscal señaló que los contribuyentes obligados a llevar registros electrónicos que los mantengan de manera manual o computarizada incurren en la infracción del numeral 2 del Artículo 175, que sanciona el no observar las formas y condiciones establecidas. Sin embargo, aclaró que esto no necesariamente implica la pérdida del crédito fiscal, siempre que la anotación se haya realizado antes de que la SUNAT requiera la exhibición del registro. Advirtió que no regularizar los libros antes de una fiscalización puede resultar en la pérdida del derecho al crédito fiscal de las facturas.</w:t>
      </w:r>
    </w:p>
    <w:p w:rsidR="00000000" w:rsidDel="00000000" w:rsidP="00000000" w:rsidRDefault="00000000" w:rsidRPr="00000000" w14:paraId="00000015">
      <w:pPr>
        <w:numPr>
          <w:ilvl w:val="0"/>
          <w:numId w:val="1"/>
        </w:numPr>
        <w:spacing w:after="160" w:lineRule="auto"/>
        <w:ind w:left="720" w:hanging="360"/>
      </w:pPr>
      <w:r w:rsidDel="00000000" w:rsidR="00000000" w:rsidRPr="00000000">
        <w:rPr>
          <w:b w:val="1"/>
          <w:rtl w:val="0"/>
        </w:rPr>
        <w:t xml:space="preserve">Obligatoriedad y Regularización de Libros Electrónicos</w:t>
      </w:r>
      <w:r w:rsidDel="00000000" w:rsidR="00000000" w:rsidRPr="00000000">
        <w:rPr>
          <w:rtl w:val="0"/>
        </w:rPr>
        <w:t xml:space="preserve"> Censea Fiscal respondió a una pregunta sobre cómo verificar la obligatoriedad de presentar libros electrónicos completos. Explicó que los principales contribuyentes, tanto regionales como nacionales (con ingresos superiores a 3,000 UIT), están obligados a llevar una amplia gama de libros electrónicos. En cuanto a la regularización, indicó que un cliente que no presentó su libro diario en 2024 y nunca legalizó hojas sueltas, podría acogerse a la facultad discrecional para evitar sanciones si regulariza el libro diario de manera electrónica antes de que la SUNAT lo detecte. Finalmente, Censea Fiscal aclaró que una vez afiliado a los libros electrónicos, la obligación de presentarlos es continua hasta la extinción de la empresa.</w:t>
      </w:r>
    </w:p>
    <w:p w:rsidR="00000000" w:rsidDel="00000000" w:rsidP="00000000" w:rsidRDefault="00000000" w:rsidRPr="00000000" w14:paraId="00000016">
      <w:pPr>
        <w:numPr>
          <w:ilvl w:val="0"/>
          <w:numId w:val="1"/>
        </w:numPr>
        <w:spacing w:after="160" w:lineRule="auto"/>
        <w:ind w:left="720" w:hanging="360"/>
      </w:pPr>
      <w:r w:rsidDel="00000000" w:rsidR="00000000" w:rsidRPr="00000000">
        <w:rPr>
          <w:b w:val="1"/>
          <w:rtl w:val="0"/>
        </w:rPr>
        <w:t xml:space="preserve">Declaraciones fuera de plazo en el RUS</w:t>
      </w:r>
      <w:r w:rsidDel="00000000" w:rsidR="00000000" w:rsidRPr="00000000">
        <w:rPr>
          <w:rtl w:val="0"/>
        </w:rPr>
        <w:t xml:space="preserve"> Censea Fiscal explicó que no hay una sanción directa por no presentar las declaraciones que contengan la determinación de la deuda en el Nuevo Régimen Único Simplificado (RUS), según el numeral 1 del artículo 176. Censea Fiscal también mencionó la facultad discrecional 012/2021, que permite la exoneración de multas si la infracción se subsana voluntariamente antes de que surta efecto la notificación de la resolución de cierre, o incluso si ya se ha notificado el documento que comunica la infracción, siempre que se subsane antes de que surta efecto la resolución de cierre.</w:t>
      </w:r>
    </w:p>
    <w:p w:rsidR="00000000" w:rsidDel="00000000" w:rsidP="00000000" w:rsidRDefault="00000000" w:rsidRPr="00000000" w14:paraId="00000017">
      <w:pPr>
        <w:numPr>
          <w:ilvl w:val="0"/>
          <w:numId w:val="1"/>
        </w:numPr>
        <w:spacing w:after="160" w:lineRule="auto"/>
        <w:ind w:left="720" w:hanging="360"/>
      </w:pPr>
      <w:r w:rsidDel="00000000" w:rsidR="00000000" w:rsidRPr="00000000">
        <w:rPr>
          <w:b w:val="1"/>
          <w:rtl w:val="0"/>
        </w:rPr>
        <w:t xml:space="preserve">Sanciones por Incumplimiento de Declaraciones</w:t>
      </w:r>
      <w:r w:rsidDel="00000000" w:rsidR="00000000" w:rsidRPr="00000000">
        <w:rPr>
          <w:rtl w:val="0"/>
        </w:rPr>
        <w:t xml:space="preserve"> Censea Fiscal detalló que para la Tabla 1 (régimen general y MYPE), la sanción es de 1 UIT, y para la Tabla 2 (régimen RER y cuarta categoría), la sanción es de 0.5 UIT. Se destacó una gradualidad general (RS0637) con rebajas del 90% al 80% si es voluntaria, y del 60% al 50% si es inducida.</w:t>
      </w:r>
    </w:p>
    <w:p w:rsidR="00000000" w:rsidDel="00000000" w:rsidP="00000000" w:rsidRDefault="00000000" w:rsidRPr="00000000" w14:paraId="00000018">
      <w:pPr>
        <w:numPr>
          <w:ilvl w:val="0"/>
          <w:numId w:val="1"/>
        </w:numPr>
        <w:spacing w:after="160" w:lineRule="auto"/>
        <w:ind w:left="720" w:hanging="360"/>
      </w:pPr>
      <w:r w:rsidDel="00000000" w:rsidR="00000000" w:rsidRPr="00000000">
        <w:rPr>
          <w:b w:val="1"/>
          <w:rtl w:val="0"/>
        </w:rPr>
        <w:t xml:space="preserve">Regulación para Contribuyentes con Ingresos Bajos</w:t>
      </w:r>
      <w:r w:rsidDel="00000000" w:rsidR="00000000" w:rsidRPr="00000000">
        <w:rPr>
          <w:rtl w:val="0"/>
        </w:rPr>
        <w:t xml:space="preserve"> Censea Fiscal señaló que la resolución 007-2025 incluye un grupo de contribuyentes con ingresos menores a 19 UIT que pueden acogerse a una rebaja del 100% de la multa si subsanan la infracción antes de la notificación de SUNAT. Para la regularización de declaraciones, si la notificación de una esquela de omiso se recibe hoy, surte efectos mañana, permitiendo regularizar hoy para acogerse a la rebaja del 100%. Se recomendó revisar la clave SOL para visualizar cartas inductivas y evitar problemas.</w:t>
      </w:r>
    </w:p>
    <w:p w:rsidR="00000000" w:rsidDel="00000000" w:rsidP="00000000" w:rsidRDefault="00000000" w:rsidRPr="00000000" w14:paraId="00000019">
      <w:pPr>
        <w:numPr>
          <w:ilvl w:val="0"/>
          <w:numId w:val="1"/>
        </w:numPr>
        <w:spacing w:after="160" w:lineRule="auto"/>
        <w:ind w:left="720" w:hanging="360"/>
      </w:pPr>
      <w:r w:rsidDel="00000000" w:rsidR="00000000" w:rsidRPr="00000000">
        <w:rPr>
          <w:b w:val="1"/>
          <w:rtl w:val="0"/>
        </w:rPr>
        <w:t xml:space="preserve">Obligación de Llevar Libros Contables</w:t>
      </w:r>
      <w:r w:rsidDel="00000000" w:rsidR="00000000" w:rsidRPr="00000000">
        <w:rPr>
          <w:rtl w:val="0"/>
        </w:rPr>
        <w:t xml:space="preserve"> Censea Fiscal abordó la pregunta sobre el libro de activo fijo, indicando que la obligación de llevarlo surge al tener activos, sin un monto mínimo, citando el artículo 175, numeral uno, sobre la omisión de libros. Respecto al Cardex, se explicó que la obligación depende del volumen de ingresos anuales brutos del año precedente, usando la UIT del ejercicio en curso para determinar si se debe llevar Cardex o solo inventario físico.</w:t>
      </w:r>
    </w:p>
    <w:p w:rsidR="00000000" w:rsidDel="00000000" w:rsidP="00000000" w:rsidRDefault="00000000" w:rsidRPr="00000000" w14:paraId="0000001A">
      <w:pPr>
        <w:numPr>
          <w:ilvl w:val="0"/>
          <w:numId w:val="1"/>
        </w:numPr>
        <w:spacing w:after="160" w:lineRule="auto"/>
        <w:ind w:left="720" w:hanging="360"/>
      </w:pPr>
      <w:r w:rsidDel="00000000" w:rsidR="00000000" w:rsidRPr="00000000">
        <w:rPr>
          <w:b w:val="1"/>
          <w:rtl w:val="0"/>
        </w:rPr>
        <w:t xml:space="preserve">Exoneración de Presentación de Declaraciones Mensuales</w:t>
      </w:r>
      <w:r w:rsidDel="00000000" w:rsidR="00000000" w:rsidRPr="00000000">
        <w:rPr>
          <w:rtl w:val="0"/>
        </w:rPr>
        <w:t xml:space="preserve"> Censea Fiscal mencionó una resolución que establece una excepción para la presentación de declaraciones mensuales para aquellos contribuyentes exonerados del Impuesto a la Renta y que solo realizan operaciones gravadas con el IGB. También se explicó la aplicación de la facultad discrecional para personas naturales que no han presentado su declaración jurada anual de rentas de cuarta o quinta categoría, permitiéndoles presentarla sin sanción si lo hacen antes de cualquier notificación de SUNAT.</w:t>
      </w:r>
    </w:p>
    <w:p w:rsidR="00000000" w:rsidDel="00000000" w:rsidP="00000000" w:rsidRDefault="00000000" w:rsidRPr="00000000" w14:paraId="0000001B">
      <w:pPr>
        <w:numPr>
          <w:ilvl w:val="0"/>
          <w:numId w:val="1"/>
        </w:numPr>
        <w:spacing w:after="160" w:lineRule="auto"/>
        <w:ind w:left="720" w:hanging="360"/>
      </w:pPr>
      <w:r w:rsidDel="00000000" w:rsidR="00000000" w:rsidRPr="00000000">
        <w:rPr>
          <w:b w:val="1"/>
          <w:rtl w:val="0"/>
        </w:rPr>
        <w:t xml:space="preserve">Infracciones por Problemas del Sistema de la SUNAT</w:t>
      </w:r>
      <w:r w:rsidDel="00000000" w:rsidR="00000000" w:rsidRPr="00000000">
        <w:rPr>
          <w:rtl w:val="0"/>
        </w:rPr>
        <w:t xml:space="preserve"> Censea Fiscal presentó un caso en el que el Tribunal Fiscal revocó una multa impuesta por SUNAT, concluyendo que la omisión en la presentación de la declaración no fue imputable al contribuyente, sino a un fallo del sistema de la administración, lo cual fue reconocido por SUNAT. En otro caso, el Tribunal Fiscal determinó que la presentación errónea de declaraciones ITAN en períodos anteriores no acreditaba que el contribuyente estuviera obligado a presentarlas si aún se encontraba en etapa preoperativa, careciendo de sustento la infracción.</w:t>
      </w:r>
    </w:p>
    <w:p w:rsidR="00000000" w:rsidDel="00000000" w:rsidP="00000000" w:rsidRDefault="00000000" w:rsidRPr="00000000" w14:paraId="0000001C">
      <w:pPr>
        <w:numPr>
          <w:ilvl w:val="0"/>
          <w:numId w:val="1"/>
        </w:numPr>
        <w:spacing w:after="160" w:lineRule="auto"/>
        <w:ind w:left="720" w:hanging="360"/>
      </w:pPr>
      <w:r w:rsidDel="00000000" w:rsidR="00000000" w:rsidRPr="00000000">
        <w:rPr>
          <w:b w:val="1"/>
          <w:rtl w:val="0"/>
        </w:rPr>
        <w:t xml:space="preserve">Baja de Trabajadores y Otras Declaraciones</w:t>
      </w:r>
      <w:r w:rsidDel="00000000" w:rsidR="00000000" w:rsidRPr="00000000">
        <w:rPr>
          <w:rtl w:val="0"/>
        </w:rPr>
        <w:t xml:space="preserve"> Censea Fiscal enfatizó la importancia de efectuar la baja de trabajadores registrados dentro del primer día hábil siguiente al término de la prestación de servicios para evitar continuar siendo considerado empleador y, por ende, la obligación de presentar declaraciones de planilla. En cuanto a otras declaraciones, las informativas (numeral 2 del artículo 176), como la de beneficiario final, tienen sanciones más elevadas. Censea Fiscal destacó una gradualidad que permite una rebaja del 100% si la declaración informativa se subsana voluntariamente antes de ser detectada por SUNAT.</w:t>
      </w:r>
    </w:p>
    <w:p w:rsidR="00000000" w:rsidDel="00000000" w:rsidP="00000000" w:rsidRDefault="00000000" w:rsidRPr="00000000" w14:paraId="0000001D">
      <w:pPr>
        <w:numPr>
          <w:ilvl w:val="0"/>
          <w:numId w:val="1"/>
        </w:numPr>
        <w:spacing w:after="160" w:lineRule="auto"/>
        <w:ind w:left="720" w:hanging="360"/>
      </w:pPr>
      <w:r w:rsidDel="00000000" w:rsidR="00000000" w:rsidRPr="00000000">
        <w:rPr>
          <w:b w:val="1"/>
          <w:rtl w:val="0"/>
        </w:rPr>
        <w:t xml:space="preserve">Balance de Comprobación y Fiscalizaciones</w:t>
      </w:r>
      <w:r w:rsidDel="00000000" w:rsidR="00000000" w:rsidRPr="00000000">
        <w:rPr>
          <w:rtl w:val="0"/>
        </w:rPr>
        <w:t xml:space="preserve"> Censea Fiscal explicó que no subir el balance de comprobación cuando es obligatorio constituye una infracción (numeral 8 del artículo 176), con sanciones del 30% de la UIT para la Tabla 1 y 15% para la Tabla 2, y una gradualidad que permite una rebaja del 100% por subsanación voluntaria. Censea Fiscal también abordó las acciones inductivas de SUNAT, como cartas y requerimientos de información, señalando que los requerimientos pueden tipificar infracciones (177 numeral 1 y 177 numeral 5). Finalmente, se recomendó responder a las cartas inductivas para evitar fiscalizaciones y estar atento a la clave SOL para cualquier notificación de la administración.</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i w:val="1"/>
          <w:color w:val="1155cc"/>
          <w:u w:val="single"/>
        </w:rPr>
      </w:pPr>
      <w:r w:rsidDel="00000000" w:rsidR="00000000" w:rsidRPr="00000000">
        <w:rPr>
          <w:i w:val="1"/>
          <w:color w:val="747775"/>
          <w:rtl w:val="0"/>
        </w:rPr>
        <w:t xml:space="preserve">Revisa las notas de Gemini para asegurarte de que sean correctas.</w:t>
      </w:r>
      <w:hyperlink r:id="rId31">
        <w:r w:rsidDel="00000000" w:rsidR="00000000" w:rsidRPr="00000000">
          <w:rPr>
            <w:i w:val="1"/>
            <w:color w:val="747775"/>
            <w:rtl w:val="0"/>
          </w:rPr>
          <w:t xml:space="preserve"> </w:t>
        </w:r>
      </w:hyperlink>
      <w:hyperlink r:id="rId32">
        <w:r w:rsidDel="00000000" w:rsidR="00000000" w:rsidRPr="00000000">
          <w:rPr>
            <w:i w:val="1"/>
            <w:color w:val="1155cc"/>
            <w:u w:val="single"/>
            <w:rtl w:val="0"/>
          </w:rPr>
          <w:t xml:space="preserve">Obtén consejos y descubre cómo toma notas Gemini</w:t>
        </w:r>
      </w:hyperlink>
      <w:r w:rsidDel="00000000" w:rsidR="00000000" w:rsidRPr="00000000">
        <w:rPr>
          <w:rtl w:val="0"/>
        </w:rPr>
      </w:r>
    </w:p>
    <w:p w:rsidR="00000000" w:rsidDel="00000000" w:rsidP="00000000" w:rsidRDefault="00000000" w:rsidRPr="00000000" w14:paraId="00000020">
      <w:pPr>
        <w:rPr/>
      </w:pPr>
      <w:r w:rsidDel="00000000" w:rsidR="00000000" w:rsidRPr="00000000">
        <w:rPr>
          <w:i w:val="1"/>
          <w:color w:val="747775"/>
          <w:rtl w:val="0"/>
        </w:rPr>
        <w:t xml:space="preserve">Danos tu opinión sobre el uso de Gemini para tomar notas en una</w:t>
      </w:r>
      <w:hyperlink r:id="rId33">
        <w:r w:rsidDel="00000000" w:rsidR="00000000" w:rsidRPr="00000000">
          <w:rPr>
            <w:i w:val="1"/>
            <w:color w:val="747775"/>
            <w:rtl w:val="0"/>
          </w:rPr>
          <w:t xml:space="preserve"> </w:t>
        </w:r>
      </w:hyperlink>
      <w:hyperlink r:id="rId34">
        <w:r w:rsidDel="00000000" w:rsidR="00000000" w:rsidRPr="00000000">
          <w:rPr>
            <w:i w:val="1"/>
            <w:color w:val="1155cc"/>
            <w:u w:val="single"/>
            <w:rtl w:val="0"/>
          </w:rPr>
          <w:t xml:space="preserve">breve encuesta.</w:t>
        </w:r>
      </w:hyperlink>
      <w:r w:rsidDel="00000000" w:rsidR="00000000" w:rsidRPr="00000000">
        <w:rPr>
          <w:rtl w:val="0"/>
        </w:rPr>
      </w:r>
    </w:p>
    <w:sectPr>
      <w:type w:val="nextPage"/>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color w:val="303030"/>
        <w:sz w:val="24"/>
        <w:szCs w:val="24"/>
        <w:lang w:val="es_419"/>
      </w:rPr>
    </w:rPrDefault>
    <w:pPrDefault>
      <w:pPr>
        <w:spacing w:after="8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276" w:lineRule="auto"/>
    </w:pPr>
    <w:rPr>
      <w:rFonts w:ascii="Roboto Medium" w:cs="Roboto Medium" w:eastAsia="Roboto Medium" w:hAnsi="Roboto Medium"/>
      <w:sz w:val="60"/>
      <w:szCs w:val="60"/>
    </w:rPr>
  </w:style>
  <w:style w:type="paragraph" w:styleId="Heading2">
    <w:name w:val="heading 2"/>
    <w:basedOn w:val="Normal"/>
    <w:next w:val="Normal"/>
    <w:pPr>
      <w:keepNext w:val="1"/>
      <w:keepLines w:val="1"/>
      <w:pageBreakBefore w:val="0"/>
      <w:spacing w:after="320" w:before="240" w:line="276" w:lineRule="auto"/>
    </w:pPr>
    <w:rPr>
      <w:rFonts w:ascii="Roboto Medium" w:cs="Roboto Medium" w:eastAsia="Roboto Medium" w:hAnsi="Roboto Medium"/>
      <w:b w:val="0"/>
      <w:sz w:val="56"/>
      <w:szCs w:val="56"/>
    </w:rPr>
  </w:style>
  <w:style w:type="paragraph" w:styleId="Heading3">
    <w:name w:val="heading 3"/>
    <w:basedOn w:val="Normal"/>
    <w:next w:val="Normal"/>
    <w:pPr>
      <w:keepNext w:val="1"/>
      <w:keepLines w:val="1"/>
      <w:pageBreakBefore w:val="0"/>
      <w:spacing w:after="40" w:before="0" w:line="276" w:lineRule="auto"/>
    </w:pPr>
    <w:rPr>
      <w:rFonts w:ascii="Roboto Medium" w:cs="Roboto Medium" w:eastAsia="Roboto Medium" w:hAnsi="Roboto Medium"/>
      <w:b w:val="0"/>
      <w:color w:val="1f1f1f"/>
      <w:sz w:val="32"/>
      <w:szCs w:val="32"/>
    </w:rPr>
  </w:style>
  <w:style w:type="paragraph" w:styleId="Heading4">
    <w:name w:val="heading 4"/>
    <w:basedOn w:val="Normal"/>
    <w:next w:val="Normal"/>
    <w:pPr>
      <w:keepNext w:val="1"/>
      <w:keepLines w:val="1"/>
      <w:pageBreakBefore w:val="0"/>
      <w:spacing w:after="160" w:before="80" w:line="276" w:lineRule="auto"/>
    </w:pPr>
    <w:rPr>
      <w:rFonts w:ascii="Roboto Medium" w:cs="Roboto Medium" w:eastAsia="Roboto Medium" w:hAnsi="Roboto Medium"/>
      <w:color w:val="434343"/>
      <w:sz w:val="28"/>
      <w:szCs w:val="28"/>
    </w:rPr>
  </w:style>
  <w:style w:type="paragraph" w:styleId="Heading5">
    <w:name w:val="heading 5"/>
    <w:basedOn w:val="Normal"/>
    <w:next w:val="Normal"/>
    <w:pPr>
      <w:keepNext w:val="1"/>
      <w:keepLines w:val="1"/>
      <w:pageBreakBefore w:val="0"/>
      <w:spacing w:after="80" w:before="0" w:line="276" w:lineRule="auto"/>
    </w:pPr>
    <w:rPr>
      <w:rFonts w:ascii="Roboto Medium" w:cs="Roboto Medium" w:eastAsia="Roboto Medium" w:hAnsi="Roboto Medium"/>
      <w:color w:val="1f1f1f"/>
      <w:sz w:val="24"/>
      <w:szCs w:val="24"/>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276" w:lineRule="auto"/>
    </w:pPr>
    <w:rPr>
      <w:rFonts w:ascii="Roboto Medium" w:cs="Roboto Medium" w:eastAsia="Roboto Medium" w:hAnsi="Roboto Medium"/>
      <w:sz w:val="64"/>
      <w:szCs w:val="64"/>
    </w:rPr>
  </w:style>
  <w:style w:type="paragraph" w:styleId="Subtitle">
    <w:name w:val="Subtitle"/>
    <w:basedOn w:val="Normal"/>
    <w:next w:val="Normal"/>
    <w:pPr>
      <w:keepNext w:val="1"/>
      <w:keepLines w:val="1"/>
      <w:pageBreakBefore w:val="0"/>
      <w:spacing w:after="320" w:before="0" w:line="276" w:lineRule="auto"/>
    </w:pPr>
    <w:rPr>
      <w:rFonts w:ascii="Roboto" w:cs="Roboto" w:eastAsia="Roboto" w:hAnsi="Roboto"/>
      <w:i w:val="0"/>
      <w:color w:val="1f1f1f"/>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mailto:lily.guerrero.m@gmail.com" TargetMode="External"/><Relationship Id="rId22" Type="http://schemas.openxmlformats.org/officeDocument/2006/relationships/hyperlink" Target="mailto:informes.censea@gmail.com" TargetMode="External"/><Relationship Id="rId21" Type="http://schemas.openxmlformats.org/officeDocument/2006/relationships/hyperlink" Target="mailto:jorgeluislozanoramirez17@gmail.com" TargetMode="External"/><Relationship Id="rId24" Type="http://schemas.openxmlformats.org/officeDocument/2006/relationships/hyperlink" Target="mailto:lilianaylaitaquispe@gmail.com" TargetMode="External"/><Relationship Id="rId23" Type="http://schemas.openxmlformats.org/officeDocument/2006/relationships/hyperlink" Target="mailto:giovanna.moreno@t4b.p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loyolanavarrogabriela@gmail.com" TargetMode="External"/><Relationship Id="rId26" Type="http://schemas.openxmlformats.org/officeDocument/2006/relationships/hyperlink" Target="mailto:gisellasotogonzales@gmail.com" TargetMode="External"/><Relationship Id="rId25" Type="http://schemas.openxmlformats.org/officeDocument/2006/relationships/hyperlink" Target="mailto:cpcjrondanv01@gmail.com" TargetMode="External"/><Relationship Id="rId28" Type="http://schemas.openxmlformats.org/officeDocument/2006/relationships/hyperlink" Target="mailto:conticostosrejas@gmail.com" TargetMode="External"/><Relationship Id="rId27" Type="http://schemas.openxmlformats.org/officeDocument/2006/relationships/hyperlink" Target="mailto:jenny.huanay28@gmail.com" TargetMode="External"/><Relationship Id="rId5" Type="http://schemas.openxmlformats.org/officeDocument/2006/relationships/styles" Target="styles.xml"/><Relationship Id="rId6" Type="http://schemas.openxmlformats.org/officeDocument/2006/relationships/hyperlink" Target="mailto:ysabelcoqui@gmail.com" TargetMode="External"/><Relationship Id="rId29" Type="http://schemas.openxmlformats.org/officeDocument/2006/relationships/hyperlink" Target="https://www.google.com/calendar/event?eid=MGc0M25xYjNiOXVycGFybXBscGc1N2w2ZnYgaW5mb0BlY2FlLm9ubGluZQ" TargetMode="External"/><Relationship Id="rId7" Type="http://schemas.openxmlformats.org/officeDocument/2006/relationships/hyperlink" Target="mailto:info@ecae.online" TargetMode="External"/><Relationship Id="rId8" Type="http://schemas.openxmlformats.org/officeDocument/2006/relationships/hyperlink" Target="mailto:estudio.caroarevalo@gmail.com" TargetMode="External"/><Relationship Id="rId31" Type="http://schemas.openxmlformats.org/officeDocument/2006/relationships/hyperlink" Target="https://support.google.com/meet/answer/14754931" TargetMode="External"/><Relationship Id="rId30" Type="http://schemas.openxmlformats.org/officeDocument/2006/relationships/hyperlink" Target="https://drive.google.com/file/d/1YrbEiwYiDBpl49BBGkPOOp0pJPHhTg-L/view?usp=drive_web" TargetMode="External"/><Relationship Id="rId11" Type="http://schemas.openxmlformats.org/officeDocument/2006/relationships/hyperlink" Target="mailto:cesiachuquino@gmail.com" TargetMode="External"/><Relationship Id="rId33" Type="http://schemas.openxmlformats.org/officeDocument/2006/relationships/hyperlink" Target="https://google.qualtrics.com/jfe/form/SV_9vK3UZEaIQKKE7A?confid=mJdS_Rtd62DQo6OT3-FiDxIPOAIIigIgABgFCA" TargetMode="External"/><Relationship Id="rId10" Type="http://schemas.openxmlformats.org/officeDocument/2006/relationships/hyperlink" Target="mailto:giovanna.ramosll21@gmail.com" TargetMode="External"/><Relationship Id="rId32" Type="http://schemas.openxmlformats.org/officeDocument/2006/relationships/hyperlink" Target="https://support.google.com/meet/answer/14754931" TargetMode="External"/><Relationship Id="rId13" Type="http://schemas.openxmlformats.org/officeDocument/2006/relationships/hyperlink" Target="mailto:pmilagros.979@gmail.com" TargetMode="External"/><Relationship Id="rId12" Type="http://schemas.openxmlformats.org/officeDocument/2006/relationships/hyperlink" Target="mailto:erick@egocomunica.pe" TargetMode="External"/><Relationship Id="rId34" Type="http://schemas.openxmlformats.org/officeDocument/2006/relationships/hyperlink" Target="https://google.qualtrics.com/jfe/form/SV_9vK3UZEaIQKKE7A?confid=mJdS_Rtd62DQo6OT3-FiDxIPOAIIigIgABgFCA" TargetMode="External"/><Relationship Id="rId15" Type="http://schemas.openxmlformats.org/officeDocument/2006/relationships/hyperlink" Target="mailto:gabrielquisocala@gmail.com" TargetMode="External"/><Relationship Id="rId14" Type="http://schemas.openxmlformats.org/officeDocument/2006/relationships/hyperlink" Target="mailto:cbarrenechea105@gmail.com" TargetMode="External"/><Relationship Id="rId17" Type="http://schemas.openxmlformats.org/officeDocument/2006/relationships/hyperlink" Target="mailto:jcpa.capacitaconta@gmail.com" TargetMode="External"/><Relationship Id="rId16" Type="http://schemas.openxmlformats.org/officeDocument/2006/relationships/hyperlink" Target="mailto:leivinacuna@gmail.com" TargetMode="External"/><Relationship Id="rId19" Type="http://schemas.openxmlformats.org/officeDocument/2006/relationships/hyperlink" Target="mailto:jennifer.1321@hotmail.com" TargetMode="External"/><Relationship Id="rId18" Type="http://schemas.openxmlformats.org/officeDocument/2006/relationships/hyperlink" Target="mailto:andreadel.2017@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RobotoMedium-regular.ttf"/><Relationship Id="rId6" Type="http://schemas.openxmlformats.org/officeDocument/2006/relationships/font" Target="fonts/RobotoMedium-bold.ttf"/><Relationship Id="rId7" Type="http://schemas.openxmlformats.org/officeDocument/2006/relationships/font" Target="fonts/RobotoMedium-italic.ttf"/><Relationship Id="rId8" Type="http://schemas.openxmlformats.org/officeDocument/2006/relationships/font" Target="fonts/Roboto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