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6834" w:w="11909" w:orient="portrait"/>
          <w:pgMar w:bottom="1440" w:top="1440" w:left="1440" w:right="1440" w:header="720" w:footer="720"/>
          <w:pgNumType w:start="1"/>
        </w:sectPr>
      </w:pPr>
      <w:bookmarkStart w:colFirst="0" w:colLast="0" w:name="_ydrr02folr8b" w:id="0"/>
      <w:bookmarkEnd w:id="0"/>
      <w:r w:rsidDel="00000000" w:rsidR="00000000" w:rsidRPr="00000000">
        <w:rPr>
          <w:rFonts w:ascii="Roboto Medium" w:cs="Roboto Medium" w:eastAsia="Roboto Medium" w:hAnsi="Roboto Medium"/>
          <w:b w:val="0"/>
          <w:i w:val="0"/>
          <w:smallCaps w:val="0"/>
          <w:strike w:val="0"/>
          <w:color w:val="303030"/>
          <w:sz w:val="64"/>
          <w:szCs w:val="64"/>
          <w:u w:val="none"/>
          <w:shd w:fill="auto" w:val="clear"/>
          <w:vertAlign w:val="baseline"/>
          <w:rtl w:val="0"/>
        </w:rPr>
        <w:t xml:space="preserve">📝 Notas</w:t>
      </w:r>
      <w:r w:rsidDel="00000000" w:rsidR="00000000" w:rsidRPr="00000000">
        <w:rPr>
          <w:rtl w:val="0"/>
        </w:rPr>
      </w:r>
    </w:p>
    <w:p w:rsidR="00000000" w:rsidDel="00000000" w:rsidP="00000000" w:rsidRDefault="00000000" w:rsidRPr="00000000" w14:paraId="00000002">
      <w:pPr>
        <w:rPr>
          <w:color w:val="062e6f"/>
          <w:shd w:fill="d6eaff" w:val="clear"/>
        </w:rPr>
      </w:pPr>
      <w:r w:rsidDel="00000000" w:rsidR="00000000" w:rsidRPr="00000000">
        <w:rPr>
          <w:color w:val="062e6f"/>
          <w:shd w:fill="d6eaff" w:val="clear"/>
          <w:rtl w:val="0"/>
        </w:rPr>
        <w:t xml:space="preserve">23 jul 2025</w:t>
      </w:r>
      <w:r w:rsidDel="00000000" w:rsidR="00000000" w:rsidRPr="00000000">
        <w:rPr>
          <w:rtl w:val="0"/>
        </w:rPr>
      </w:r>
    </w:p>
    <w:p w:rsidR="00000000" w:rsidDel="00000000" w:rsidP="00000000" w:rsidRDefault="00000000" w:rsidRPr="00000000" w14:paraId="00000003">
      <w:pPr>
        <w:pStyle w:val="Heading2"/>
        <w:rPr/>
      </w:pPr>
      <w:bookmarkStart w:colFirst="0" w:colLast="0" w:name="_b8hdlkagltn4" w:id="1"/>
      <w:bookmarkEnd w:id="1"/>
      <w:r w:rsidDel="00000000" w:rsidR="00000000" w:rsidRPr="00000000">
        <w:rPr>
          <w:rtl w:val="0"/>
        </w:rPr>
        <w:t xml:space="preserve">Curso del mes: INFRACCIONES TRIBUTARIAS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3"/>
        <w:rPr/>
      </w:pPr>
      <w:bookmarkStart w:colFirst="0" w:colLast="0" w:name="_ihzzxutafyqq" w:id="2"/>
      <w:bookmarkEnd w:id="2"/>
      <w:r w:rsidDel="00000000" w:rsidR="00000000" w:rsidRPr="00000000">
        <w:rPr>
          <w:rtl w:val="0"/>
        </w:rPr>
        <w:t xml:space="preserve">Resumen</w:t>
      </w:r>
    </w:p>
    <w:p w:rsidR="00000000" w:rsidDel="00000000" w:rsidP="00000000" w:rsidRDefault="00000000" w:rsidRPr="00000000" w14:paraId="00000006">
      <w:pPr>
        <w:spacing w:after="0" w:lineRule="auto"/>
        <w:rPr>
          <w:sz w:val="28"/>
          <w:szCs w:val="28"/>
        </w:rPr>
      </w:pPr>
      <w:r w:rsidDel="00000000" w:rsidR="00000000" w:rsidRPr="00000000">
        <w:rPr>
          <w:sz w:val="28"/>
          <w:szCs w:val="28"/>
          <w:rtl w:val="0"/>
        </w:rPr>
        <w:t xml:space="preserve">Censea Fiscal y Giovanna Moreno discutieron las infracciones tributarias en Perú, centrándose en las relacionadas con libros y registros, las facultades discrecionales y la gradualidad de las sanciones. Abordaron las sanciones por no emitir comprobantes, no aplicar las Normas Internacionales de Información Financiera (NIIF), y la problemática de la subsanación de infracciones, incluyendo casos donde la SUNAT y los contribuyentes difieren sobre los plazos y la aplicación de rebajas. La conversación también incluyó las infracciones relacionadas con declaraciones informativas, la no exhibición de documentos y la no retención de tributos, además de la experiencia de Andrea Danitsa Enriquez Laura con errores en el sistema SIRE.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pStyle w:val="Heading3"/>
        <w:rPr/>
      </w:pPr>
      <w:bookmarkStart w:colFirst="0" w:colLast="0" w:name="_td7rlw44m995" w:id="3"/>
      <w:bookmarkEnd w:id="3"/>
      <w:r w:rsidDel="00000000" w:rsidR="00000000" w:rsidRPr="00000000">
        <w:rPr>
          <w:rtl w:val="0"/>
        </w:rPr>
        <w:t xml:space="preserve">Detalles</w:t>
      </w:r>
    </w:p>
    <w:p w:rsidR="00000000" w:rsidDel="00000000" w:rsidP="00000000" w:rsidRDefault="00000000" w:rsidRPr="00000000" w14:paraId="00000009">
      <w:pPr>
        <w:numPr>
          <w:ilvl w:val="0"/>
          <w:numId w:val="1"/>
        </w:numPr>
        <w:spacing w:after="160" w:lineRule="auto"/>
        <w:ind w:left="720" w:hanging="360"/>
      </w:pPr>
      <w:r w:rsidDel="00000000" w:rsidR="00000000" w:rsidRPr="00000000">
        <w:rPr>
          <w:b w:val="1"/>
          <w:rtl w:val="0"/>
        </w:rPr>
        <w:t xml:space="preserve">Infracciones relacionadas con libros y registros</w:t>
      </w:r>
      <w:r w:rsidDel="00000000" w:rsidR="00000000" w:rsidRPr="00000000">
        <w:rPr>
          <w:rtl w:val="0"/>
        </w:rPr>
        <w:t xml:space="preserve"> Censea Fiscal repasó las infracciones relacionadas con libros, enfocándose en las características de las infracciones por retraso y los numerales aplicables. Se destacó que el numeral 5 de la norma es para libros físicos, mientras que el numeral 10, incorporado en 2018, regula las infracciones de libros electrónicos. La redacción del numeral 10, que se refiere a no registrar o anotar dentro de los plazos máximos, no es "la más feliz" según Censea Fiscal.</w:t>
      </w:r>
    </w:p>
    <w:p w:rsidR="00000000" w:rsidDel="00000000" w:rsidP="00000000" w:rsidRDefault="00000000" w:rsidRPr="00000000" w14:paraId="0000000A">
      <w:pPr>
        <w:numPr>
          <w:ilvl w:val="0"/>
          <w:numId w:val="1"/>
        </w:numPr>
        <w:spacing w:after="160" w:lineRule="auto"/>
        <w:ind w:left="720" w:hanging="360"/>
      </w:pPr>
      <w:r w:rsidDel="00000000" w:rsidR="00000000" w:rsidRPr="00000000">
        <w:rPr>
          <w:b w:val="1"/>
          <w:rtl w:val="0"/>
        </w:rPr>
        <w:t xml:space="preserve">Facultad Discrecional y Gradualidad</w:t>
      </w:r>
      <w:r w:rsidDel="00000000" w:rsidR="00000000" w:rsidRPr="00000000">
        <w:rPr>
          <w:rtl w:val="0"/>
        </w:rPr>
        <w:t xml:space="preserve"> Se hizo una distinción clara entre la gradualidad y la discrecionalidad en la aplicación de sanciones. Censea Fiscal explicó que la gradualidad implica una rebaja de la sanción, mientras que la discrecionalidad permite no aplicar la sanción si se cumplen ciertos requisitos. Para los libros electrónicos, específicamente el numeral 10, existe una resolución de gradualidad (RS 22629), y para el SIRE, la facultad discrecional se aplica a través de la Resolución 003-2025.</w:t>
      </w:r>
    </w:p>
    <w:p w:rsidR="00000000" w:rsidDel="00000000" w:rsidP="00000000" w:rsidRDefault="00000000" w:rsidRPr="00000000" w14:paraId="0000000B">
      <w:pPr>
        <w:numPr>
          <w:ilvl w:val="0"/>
          <w:numId w:val="1"/>
        </w:numPr>
        <w:spacing w:after="160" w:lineRule="auto"/>
        <w:ind w:left="720" w:hanging="360"/>
      </w:pPr>
      <w:r w:rsidDel="00000000" w:rsidR="00000000" w:rsidRPr="00000000">
        <w:rPr>
          <w:b w:val="1"/>
          <w:rtl w:val="0"/>
        </w:rPr>
        <w:t xml:space="preserve">Ampliación de Plazos y Publicación de Resoluciones</w:t>
      </w:r>
      <w:r w:rsidDel="00000000" w:rsidR="00000000" w:rsidRPr="00000000">
        <w:rPr>
          <w:rtl w:val="0"/>
        </w:rPr>
        <w:t xml:space="preserve"> Censea Fiscal mencionó la Resolución de Superintendencia 217-2025, que posterga la obligación de llevar registros en el Sistema Integrado de Registros Electrónicos (SIRE) de julio de 2025 a enero de 2025 para los principales contribuyentes. Además, se destacó que las resoluciones de la Superintendencia Nacional Adjunta de Tributos Internos, que aplican la facultad discrecional, ahora se publican, lo que brinda certeza a los contribuyentes.</w:t>
      </w:r>
    </w:p>
    <w:p w:rsidR="00000000" w:rsidDel="00000000" w:rsidP="00000000" w:rsidRDefault="00000000" w:rsidRPr="00000000" w14:paraId="0000000C">
      <w:pPr>
        <w:numPr>
          <w:ilvl w:val="0"/>
          <w:numId w:val="1"/>
        </w:numPr>
        <w:spacing w:after="160" w:lineRule="auto"/>
        <w:ind w:left="720" w:hanging="360"/>
      </w:pPr>
      <w:r w:rsidDel="00000000" w:rsidR="00000000" w:rsidRPr="00000000">
        <w:rPr>
          <w:b w:val="1"/>
          <w:rtl w:val="0"/>
        </w:rPr>
        <w:t xml:space="preserve">Tipos de Sanciones por Libros</w:t>
      </w:r>
      <w:r w:rsidDel="00000000" w:rsidR="00000000" w:rsidRPr="00000000">
        <w:rPr>
          <w:rtl w:val="0"/>
        </w:rPr>
        <w:t xml:space="preserve"> Censea Fiscal detalló las sanciones según el tipo de infracción relacionada con los libros. El numeral 2 del artículo 175 se aplica por llevar libros sin observar la forma y condiciones establecidas en las normas, con una sanción del 0.3% de los ingresos netos. El numeral 1, "omitir llevar el libro", conlleva una sanción del 0.6%, el doble de la anterior.</w:t>
      </w:r>
    </w:p>
    <w:p w:rsidR="00000000" w:rsidDel="00000000" w:rsidP="00000000" w:rsidRDefault="00000000" w:rsidRPr="00000000" w14:paraId="0000000D">
      <w:pPr>
        <w:numPr>
          <w:ilvl w:val="0"/>
          <w:numId w:val="1"/>
        </w:numPr>
        <w:spacing w:after="160" w:lineRule="auto"/>
        <w:ind w:left="720" w:hanging="360"/>
      </w:pPr>
      <w:r w:rsidDel="00000000" w:rsidR="00000000" w:rsidRPr="00000000">
        <w:rPr>
          <w:b w:val="1"/>
          <w:rtl w:val="0"/>
        </w:rPr>
        <w:t xml:space="preserve">Cierre de Libros al Cambiar de Sistema</w:t>
      </w:r>
      <w:r w:rsidDel="00000000" w:rsidR="00000000" w:rsidRPr="00000000">
        <w:rPr>
          <w:rtl w:val="0"/>
        </w:rPr>
        <w:t xml:space="preserve"> Censea Fiscal explicó que al pasar del PLE al SIRE, es necesario cerrar el libro en el sistema anterior, dándolo de baja, para evitar incurrir en infracciones. Si un contribuyente no ha cerrado sus libros y no los ha presentado, se le puede aplicar la facultad discrecional si cumple con presentar todos los libros a julio de 2025. Además, se discutió la problemática de que no se permita a un contribuyente presentar el SIRE si no ha presentado el PLE en fechas anteriores.</w:t>
      </w:r>
    </w:p>
    <w:p w:rsidR="00000000" w:rsidDel="00000000" w:rsidP="00000000" w:rsidRDefault="00000000" w:rsidRPr="00000000" w14:paraId="0000000E">
      <w:pPr>
        <w:numPr>
          <w:ilvl w:val="0"/>
          <w:numId w:val="1"/>
        </w:numPr>
        <w:spacing w:after="160" w:lineRule="auto"/>
        <w:ind w:left="720" w:hanging="360"/>
      </w:pPr>
      <w:r w:rsidDel="00000000" w:rsidR="00000000" w:rsidRPr="00000000">
        <w:rPr>
          <w:b w:val="1"/>
          <w:rtl w:val="0"/>
        </w:rPr>
        <w:t xml:space="preserve">Cálculo de Sanciones y UIT</w:t>
      </w:r>
      <w:r w:rsidDel="00000000" w:rsidR="00000000" w:rsidRPr="00000000">
        <w:rPr>
          <w:rtl w:val="0"/>
        </w:rPr>
        <w:t xml:space="preserve"> Censea Fiscal precisó que las sanciones a menudo se calculan en función de los Ingresos Netos (IN), que incluyen ingresos gravados y no gravados, tomando como referencia los ingresos declarados en la Declaración Jurada Anual (DJ). Para las sanciones basadas en la Unidad Impositiva Tributaria (UIT), se utiliza la UIT de la fecha de la infracción.</w:t>
      </w:r>
    </w:p>
    <w:p w:rsidR="00000000" w:rsidDel="00000000" w:rsidP="00000000" w:rsidRDefault="00000000" w:rsidRPr="00000000" w14:paraId="0000000F">
      <w:pPr>
        <w:numPr>
          <w:ilvl w:val="0"/>
          <w:numId w:val="1"/>
        </w:numPr>
        <w:spacing w:after="160" w:lineRule="auto"/>
        <w:ind w:left="720" w:hanging="360"/>
      </w:pPr>
      <w:r w:rsidDel="00000000" w:rsidR="00000000" w:rsidRPr="00000000">
        <w:rPr>
          <w:b w:val="1"/>
          <w:rtl w:val="0"/>
        </w:rPr>
        <w:t xml:space="preserve">Libros Electrónicos y Crédito Fiscal</w:t>
      </w:r>
      <w:r w:rsidDel="00000000" w:rsidR="00000000" w:rsidRPr="00000000">
        <w:rPr>
          <w:rtl w:val="0"/>
        </w:rPr>
        <w:t xml:space="preserve"> Censea Fiscal señaló que, si un contribuyente obligado a llevar el registro de compras de manera electrónica lo lleva de forma manual o mecanizada, no pierde el derecho al crédito fiscal, siempre que la información haya sido anotada antes de que la SUNAT requiera su exhibición. Sin embargo, llevar los libros de esta manera, en lugar de electrónicamente, podría acarrear una infracción bajo el numeral 2 del artículo 175 por no observar las condiciones establecidas.</w:t>
      </w:r>
    </w:p>
    <w:p w:rsidR="00000000" w:rsidDel="00000000" w:rsidP="00000000" w:rsidRDefault="00000000" w:rsidRPr="00000000" w14:paraId="00000010">
      <w:pPr>
        <w:numPr>
          <w:ilvl w:val="0"/>
          <w:numId w:val="1"/>
        </w:numPr>
        <w:spacing w:after="160" w:lineRule="auto"/>
        <w:ind w:left="720" w:hanging="360"/>
      </w:pPr>
      <w:r w:rsidDel="00000000" w:rsidR="00000000" w:rsidRPr="00000000">
        <w:rPr>
          <w:b w:val="1"/>
          <w:rtl w:val="0"/>
        </w:rPr>
        <w:t xml:space="preserve">Obligaciones de Emisión de Comprobantes</w:t>
      </w:r>
      <w:r w:rsidDel="00000000" w:rsidR="00000000" w:rsidRPr="00000000">
        <w:rPr>
          <w:rtl w:val="0"/>
        </w:rPr>
        <w:t xml:space="preserve"> Censea Fiscal abordó las sanciones relacionadas con la emisión de comprobantes de pago, específicamente el artículo 174. Se diferenció entre "no emitir" un comprobante (numeral 1) y emitir uno sin cumplir los requisitos (numeral 2). Giovanna Moreno corroboró que un documento como una "nota de venta" sin las características de un comprobante válido se considera como no emitir.</w:t>
      </w:r>
    </w:p>
    <w:p w:rsidR="00000000" w:rsidDel="00000000" w:rsidP="00000000" w:rsidRDefault="00000000" w:rsidRPr="00000000" w14:paraId="00000011">
      <w:pPr>
        <w:numPr>
          <w:ilvl w:val="0"/>
          <w:numId w:val="1"/>
        </w:numPr>
        <w:spacing w:after="160" w:lineRule="auto"/>
        <w:ind w:left="720" w:hanging="360"/>
      </w:pPr>
      <w:r w:rsidDel="00000000" w:rsidR="00000000" w:rsidRPr="00000000">
        <w:rPr>
          <w:b w:val="1"/>
          <w:rtl w:val="0"/>
        </w:rPr>
        <w:t xml:space="preserve">Aplicación de Normas Contables (NIIF)</w:t>
      </w:r>
      <w:r w:rsidDel="00000000" w:rsidR="00000000" w:rsidRPr="00000000">
        <w:rPr>
          <w:rtl w:val="0"/>
        </w:rPr>
        <w:t xml:space="preserve"> Censea Fiscal planteó la pregunta de si la SUNAT podría multar a un contribuyente por no aplicar las Normas Internacionales de Información Financiera (NIIF) en su contabilidad. Giovanna Moreno sugirió que esto podría encajar en la infracción de "no observar la forma y condiciones establecidas en las normas correspondientes". Censea Fiscal enfatizó que el artículo 223 de la Ley General de Sociedades establece que la contabilidad debe seguir los principios contables generalmente aceptados, y existen resoluciones del Consejo Normativo de Contabilidad que identifican estos principios con las NIIF.</w:t>
      </w:r>
    </w:p>
    <w:p w:rsidR="00000000" w:rsidDel="00000000" w:rsidP="00000000" w:rsidRDefault="00000000" w:rsidRPr="00000000" w14:paraId="00000012">
      <w:pPr>
        <w:numPr>
          <w:ilvl w:val="0"/>
          <w:numId w:val="1"/>
        </w:numPr>
        <w:spacing w:after="160" w:lineRule="auto"/>
        <w:ind w:left="720" w:hanging="360"/>
      </w:pPr>
      <w:r w:rsidDel="00000000" w:rsidR="00000000" w:rsidRPr="00000000">
        <w:rPr>
          <w:b w:val="1"/>
          <w:rtl w:val="0"/>
        </w:rPr>
        <w:t xml:space="preserve">Sanciones por Libro y Mes en Libros Electrónicos</w:t>
      </w:r>
      <w:r w:rsidDel="00000000" w:rsidR="00000000" w:rsidRPr="00000000">
        <w:rPr>
          <w:rtl w:val="0"/>
        </w:rPr>
        <w:t xml:space="preserve"> Se discutió si la sanción por infracciones en libros se aplica por cada libro o por cada mes. Censea Fiscal explicó que, en el caso del numeral 10 (libros electrónicos), la exposición de motivos de la facultad discrecional indica que la multa podría ser por cada libro y por cada mes, debido a la redacción en singular "el libro y registro electrónico".</w:t>
      </w:r>
    </w:p>
    <w:p w:rsidR="00000000" w:rsidDel="00000000" w:rsidP="00000000" w:rsidRDefault="00000000" w:rsidRPr="00000000" w14:paraId="00000013">
      <w:pPr>
        <w:numPr>
          <w:ilvl w:val="0"/>
          <w:numId w:val="1"/>
        </w:numPr>
        <w:spacing w:after="160" w:lineRule="auto"/>
        <w:ind w:left="720" w:hanging="360"/>
      </w:pPr>
      <w:r w:rsidDel="00000000" w:rsidR="00000000" w:rsidRPr="00000000">
        <w:rPr>
          <w:b w:val="1"/>
          <w:rtl w:val="0"/>
        </w:rPr>
        <w:t xml:space="preserve">Gradualidad para Contribuyentes con Menos Ingresos</w:t>
      </w:r>
      <w:r w:rsidDel="00000000" w:rsidR="00000000" w:rsidRPr="00000000">
        <w:rPr>
          <w:rtl w:val="0"/>
        </w:rPr>
        <w:t xml:space="preserve"> Censea Fiscal explicó que existe un régimen de gradualidad para contribuyentes con ingresos menores a 19 UIT, permitiendo una rebaja de hasta el 100% si se subsana antes de cualquier notificación. Se aclaró que una notificación de la SUNAT surte efectos al día siguiente de su recepción, lo que permite regularizar una infracción antes de que surta efecto la comunicación.</w:t>
      </w:r>
    </w:p>
    <w:p w:rsidR="00000000" w:rsidDel="00000000" w:rsidP="00000000" w:rsidRDefault="00000000" w:rsidRPr="00000000" w14:paraId="00000014">
      <w:pPr>
        <w:numPr>
          <w:ilvl w:val="0"/>
          <w:numId w:val="1"/>
        </w:numPr>
        <w:spacing w:after="160" w:lineRule="auto"/>
        <w:ind w:left="720" w:hanging="360"/>
      </w:pPr>
      <w:r w:rsidDel="00000000" w:rsidR="00000000" w:rsidRPr="00000000">
        <w:rPr>
          <w:b w:val="1"/>
          <w:rtl w:val="0"/>
        </w:rPr>
        <w:t xml:space="preserve">Casos de Subsanación Inducida y Coactiva</w:t>
      </w:r>
      <w:r w:rsidDel="00000000" w:rsidR="00000000" w:rsidRPr="00000000">
        <w:rPr>
          <w:rtl w:val="0"/>
        </w:rPr>
        <w:t xml:space="preserve"> Giovanna Moreno compartió un caso en el que un contribuyente, a pesar de recibir una notificación y una resolución de multa, pudo acogerse a una rebaja del 95% por subsanación inducida debido a que la acción se realizó antes del séptimo día hábil posterior a la notificación de la resolución de ejecución coactiva. Censea Fiscal confirmó que el contribuyente estaba dentro del plazo para aplicar la rebaja.</w:t>
      </w:r>
    </w:p>
    <w:p w:rsidR="00000000" w:rsidDel="00000000" w:rsidP="00000000" w:rsidRDefault="00000000" w:rsidRPr="00000000" w14:paraId="00000015">
      <w:pPr>
        <w:numPr>
          <w:ilvl w:val="0"/>
          <w:numId w:val="1"/>
        </w:numPr>
        <w:spacing w:after="160" w:lineRule="auto"/>
        <w:ind w:left="720" w:hanging="360"/>
      </w:pPr>
      <w:r w:rsidDel="00000000" w:rsidR="00000000" w:rsidRPr="00000000">
        <w:rPr>
          <w:b w:val="1"/>
          <w:rtl w:val="0"/>
        </w:rPr>
        <w:t xml:space="preserve">Fechas de la Resolución de Multa y Declaración</w:t>
      </w:r>
      <w:r w:rsidDel="00000000" w:rsidR="00000000" w:rsidRPr="00000000">
        <w:rPr>
          <w:rtl w:val="0"/>
        </w:rPr>
        <w:t xml:space="preserve"> Censea Fiscal y Giovanna Moreno discutieron las fechas clave de una resolución de multa. Se señaló que la declaración debió presentarse el 8 de abril, la esquela llegó el 9 de abril, la resolución de multa se emitió el 7 de mayo y la declaración se realizó el 27 de mayo. Censea Fiscal aclaró que al 27 de mayo no había llegado la coactiva, lo que, según Censea Fiscal, los mantenía dentro del plazo, pero Giovanna Moreno sostuvo que los plazos ya habían vencido, y la coactiva llegó el 5 de junio.</w:t>
      </w:r>
    </w:p>
    <w:p w:rsidR="00000000" w:rsidDel="00000000" w:rsidP="00000000" w:rsidRDefault="00000000" w:rsidRPr="00000000" w14:paraId="00000016">
      <w:pPr>
        <w:numPr>
          <w:ilvl w:val="0"/>
          <w:numId w:val="1"/>
        </w:numPr>
        <w:spacing w:after="160" w:lineRule="auto"/>
        <w:ind w:left="720" w:hanging="360"/>
      </w:pPr>
      <w:r w:rsidDel="00000000" w:rsidR="00000000" w:rsidRPr="00000000">
        <w:rPr>
          <w:b w:val="1"/>
          <w:rtl w:val="0"/>
        </w:rPr>
        <w:t xml:space="preserve">Rebaja del 95% y Procedimientos</w:t>
      </w:r>
      <w:r w:rsidDel="00000000" w:rsidR="00000000" w:rsidRPr="00000000">
        <w:rPr>
          <w:rtl w:val="0"/>
        </w:rPr>
        <w:t xml:space="preserve"> Giovanna Moreno expresó su duda sobre por qué la SUNAT emitió una resolución de multa por el 100% de la UIT si la rebaja del 95% estaba disponible. Censea Fiscal explicó que para acogerse a la rebaja del 95%, se debe enviar un escrito a la SUNAT informando de la acogida y presentar el formulario 194 (revocación de valor). Se enfatizó que la multa inicial del 7 de mayo por el 100% era correcta porque la regularización se hizo el 27 de mayo, pero la coactiva del 5 de junio por el monto total era incorrecta, ya que la regularización ya se había realizado.</w:t>
      </w:r>
    </w:p>
    <w:p w:rsidR="00000000" w:rsidDel="00000000" w:rsidP="00000000" w:rsidRDefault="00000000" w:rsidRPr="00000000" w14:paraId="00000017">
      <w:pPr>
        <w:numPr>
          <w:ilvl w:val="0"/>
          <w:numId w:val="1"/>
        </w:numPr>
        <w:spacing w:after="160" w:lineRule="auto"/>
        <w:ind w:left="720" w:hanging="360"/>
      </w:pPr>
      <w:r w:rsidDel="00000000" w:rsidR="00000000" w:rsidRPr="00000000">
        <w:rPr>
          <w:b w:val="1"/>
          <w:rtl w:val="0"/>
        </w:rPr>
        <w:t xml:space="preserve">Comunicación entre Áreas de SUNAT</w:t>
      </w:r>
      <w:r w:rsidDel="00000000" w:rsidR="00000000" w:rsidRPr="00000000">
        <w:rPr>
          <w:rtl w:val="0"/>
        </w:rPr>
        <w:t xml:space="preserve"> Censea Fiscal indicó que el problema surge porque son dos áreas distintas en la SUNAT: el área que emite la multa (control de la deuda) y el área de cobranza coactiva. Para resolver esto, se debe enviar un escrito al área de cobranza coactiva informando que se ha acogido a la rebaja del 95%. Giovanna Moreno mencionó que la resolución dice que con coactiva se tiene el 95% de rebaja, lo que considera una "trampa" por parte de la SUNAT para cobrar primero y luego gestionar la devolución.</w:t>
      </w:r>
    </w:p>
    <w:p w:rsidR="00000000" w:rsidDel="00000000" w:rsidP="00000000" w:rsidRDefault="00000000" w:rsidRPr="00000000" w14:paraId="00000018">
      <w:pPr>
        <w:numPr>
          <w:ilvl w:val="0"/>
          <w:numId w:val="1"/>
        </w:numPr>
        <w:spacing w:after="160" w:lineRule="auto"/>
        <w:ind w:left="720" w:hanging="360"/>
      </w:pPr>
      <w:r w:rsidDel="00000000" w:rsidR="00000000" w:rsidRPr="00000000">
        <w:rPr>
          <w:b w:val="1"/>
          <w:rtl w:val="0"/>
        </w:rPr>
        <w:t xml:space="preserve">Facultades Discrecionales y Errores Administrativos</w:t>
      </w:r>
      <w:r w:rsidDel="00000000" w:rsidR="00000000" w:rsidRPr="00000000">
        <w:rPr>
          <w:rtl w:val="0"/>
        </w:rPr>
        <w:t xml:space="preserve"> Censea Fiscal comentó sobre la facultad discrecional de la SUNAT en casos como la no presentación de la declaración anual de personas naturales, donde no se emitiría una sanción si la declaración se presenta antes de cualquier notificación. También mencionó que si un contribuyente no presenta una declaración debido a problemas en los sistemas de la SUNAT, no deberían aplicarle una sanción, siempre que se tenga pruebas del error.</w:t>
      </w:r>
    </w:p>
    <w:p w:rsidR="00000000" w:rsidDel="00000000" w:rsidP="00000000" w:rsidRDefault="00000000" w:rsidRPr="00000000" w14:paraId="00000019">
      <w:pPr>
        <w:numPr>
          <w:ilvl w:val="0"/>
          <w:numId w:val="1"/>
        </w:numPr>
        <w:spacing w:after="160" w:lineRule="auto"/>
        <w:ind w:left="720" w:hanging="360"/>
      </w:pPr>
      <w:r w:rsidDel="00000000" w:rsidR="00000000" w:rsidRPr="00000000">
        <w:rPr>
          <w:b w:val="1"/>
          <w:rtl w:val="0"/>
        </w:rPr>
        <w:t xml:space="preserve">Declaraciones Informativas y Beneficiario Final</w:t>
      </w:r>
      <w:r w:rsidDel="00000000" w:rsidR="00000000" w:rsidRPr="00000000">
        <w:rPr>
          <w:rtl w:val="0"/>
        </w:rPr>
        <w:t xml:space="preserve"> Censea Fiscal explicó que la no presentación de otras declaraciones o comunicaciones, como la del beneficiario final, se tipifica en el numeral 2 del artículo 176. Se mencionó que si se regulariza voluntariamente esta infracción antes de ser notificado por la SUNAT, se puede acoger a una rebaja del 100%. También se detallaron otras infracciones relacionadas con el beneficiario final, como no presentar declaraciones incompletas o no conservar la documentación sustentatoria.</w:t>
      </w:r>
    </w:p>
    <w:p w:rsidR="00000000" w:rsidDel="00000000" w:rsidP="00000000" w:rsidRDefault="00000000" w:rsidRPr="00000000" w14:paraId="0000001A">
      <w:pPr>
        <w:numPr>
          <w:ilvl w:val="0"/>
          <w:numId w:val="1"/>
        </w:numPr>
        <w:spacing w:after="160" w:lineRule="auto"/>
        <w:ind w:left="720" w:hanging="360"/>
      </w:pPr>
      <w:r w:rsidDel="00000000" w:rsidR="00000000" w:rsidRPr="00000000">
        <w:rPr>
          <w:b w:val="1"/>
          <w:rtl w:val="0"/>
        </w:rPr>
        <w:t xml:space="preserve">Sanciones por no Anexar el Balance de Comprobación y no Exhibir Documentos</w:t>
      </w:r>
      <w:r w:rsidDel="00000000" w:rsidR="00000000" w:rsidRPr="00000000">
        <w:rPr>
          <w:rtl w:val="0"/>
        </w:rPr>
        <w:t xml:space="preserve"> Censea Fiscal abordó la sanción por no anexar el balance de comprobación en la declaración jurada anual, que es del 30% de la UIT, con una gradualidad del 100% si se regulariza antes de la notificación. También se discutió la infracción del artículo 177 numeral 1, que sanciona la no exhibición de libros o registros solicitados por la SUNAT, con una multa del 0.6% de los IN, que puede alcanzar hasta 133,000 soles.</w:t>
      </w:r>
    </w:p>
    <w:p w:rsidR="00000000" w:rsidDel="00000000" w:rsidP="00000000" w:rsidRDefault="00000000" w:rsidRPr="00000000" w14:paraId="0000001B">
      <w:pPr>
        <w:numPr>
          <w:ilvl w:val="0"/>
          <w:numId w:val="1"/>
        </w:numPr>
        <w:spacing w:after="160" w:lineRule="auto"/>
        <w:ind w:left="720" w:hanging="360"/>
      </w:pPr>
      <w:r w:rsidDel="00000000" w:rsidR="00000000" w:rsidRPr="00000000">
        <w:rPr>
          <w:b w:val="1"/>
          <w:rtl w:val="0"/>
        </w:rPr>
        <w:t xml:space="preserve">Imputación Múltiple de Infracciones en Fiscalizaciones</w:t>
      </w:r>
      <w:r w:rsidDel="00000000" w:rsidR="00000000" w:rsidRPr="00000000">
        <w:rPr>
          <w:rtl w:val="0"/>
        </w:rPr>
        <w:t xml:space="preserve"> Censea Fiscal explicó que la SUNAT puede imputar más de una vez la infracción del artículo 177 en un mismo procedimiento de fiscalización si los requerimientos de información son distintos y se emiten en diferentes oportunidades. Dio como ejemplo la multa por no presentar el libro diario y luego por no presentar los comprobantes de pago de ventas, cada uno solicitado en requerimientos separados.</w:t>
      </w:r>
    </w:p>
    <w:p w:rsidR="00000000" w:rsidDel="00000000" w:rsidP="00000000" w:rsidRDefault="00000000" w:rsidRPr="00000000" w14:paraId="0000001C">
      <w:pPr>
        <w:numPr>
          <w:ilvl w:val="0"/>
          <w:numId w:val="1"/>
        </w:numPr>
        <w:spacing w:after="160" w:lineRule="auto"/>
        <w:ind w:left="720" w:hanging="360"/>
      </w:pPr>
      <w:r w:rsidDel="00000000" w:rsidR="00000000" w:rsidRPr="00000000">
        <w:rPr>
          <w:b w:val="1"/>
          <w:rtl w:val="0"/>
        </w:rPr>
        <w:t xml:space="preserve">No Proporcionar Información o Documentos</w:t>
      </w:r>
      <w:r w:rsidDel="00000000" w:rsidR="00000000" w:rsidRPr="00000000">
        <w:rPr>
          <w:rtl w:val="0"/>
        </w:rPr>
        <w:t xml:space="preserve"> Censea Fiscal detalló la infracción del artículo 177 numeral 5, que sanciona la no provisión de información o documentos requeridos por la administración, con una multa del 0.3% de los IN. Se mencionó que, en algunos casos, la SUNAT tipifica dos infracciones simultáneamente, aunque en Lima solo se aplica una, por ejemplo, en acciones inductivas por incremento patrimonial no justificado, donde se piden estados de cuenta y análisis.</w:t>
      </w:r>
    </w:p>
    <w:p w:rsidR="00000000" w:rsidDel="00000000" w:rsidP="00000000" w:rsidRDefault="00000000" w:rsidRPr="00000000" w14:paraId="0000001D">
      <w:pPr>
        <w:numPr>
          <w:ilvl w:val="0"/>
          <w:numId w:val="1"/>
        </w:numPr>
        <w:spacing w:after="160" w:lineRule="auto"/>
        <w:ind w:left="720" w:hanging="360"/>
      </w:pPr>
      <w:r w:rsidDel="00000000" w:rsidR="00000000" w:rsidRPr="00000000">
        <w:rPr>
          <w:b w:val="1"/>
          <w:rtl w:val="0"/>
        </w:rPr>
        <w:t xml:space="preserve">No Efectuar Retenciones o Percepciones</w:t>
      </w:r>
      <w:r w:rsidDel="00000000" w:rsidR="00000000" w:rsidRPr="00000000">
        <w:rPr>
          <w:rtl w:val="0"/>
        </w:rPr>
        <w:t xml:space="preserve"> Censea Fiscal abordó la infracción del artículo 177 numeral 13, que sanciona la no realización de retenciones o percepciones establecidas por ley, con una multa del 50% del tributo no retenido o no percibido. Se indicó que esta sanción tiene una gradualidad del 90% con pago y del 80% sin pago en caso de subsanación voluntaria.</w:t>
      </w:r>
    </w:p>
    <w:p w:rsidR="00000000" w:rsidDel="00000000" w:rsidP="00000000" w:rsidRDefault="00000000" w:rsidRPr="00000000" w14:paraId="0000001E">
      <w:pPr>
        <w:numPr>
          <w:ilvl w:val="0"/>
          <w:numId w:val="1"/>
        </w:numPr>
        <w:spacing w:after="160" w:lineRule="auto"/>
        <w:ind w:left="720" w:hanging="360"/>
      </w:pPr>
      <w:r w:rsidDel="00000000" w:rsidR="00000000" w:rsidRPr="00000000">
        <w:rPr>
          <w:b w:val="1"/>
          <w:rtl w:val="0"/>
        </w:rPr>
        <w:t xml:space="preserve">Declarar Cifras y Datos Falsos (Artículo 178 numeral 1)</w:t>
      </w:r>
      <w:r w:rsidDel="00000000" w:rsidR="00000000" w:rsidRPr="00000000">
        <w:rPr>
          <w:rtl w:val="0"/>
        </w:rPr>
        <w:t xml:space="preserve"> Censea Fiscal explicó que no hay multa por declarar cifras o datos falsos (artículo 178 numeral 1) si no hay tributo omitido, es decir, si se rectifica una declaración que inicialmente resultaba en un saldo a favor, incluso si el saldo a favor disminuye. Giovanna Moreno estuvo de acuerdo, señalando que no hay multa si no hay tributo omitido. Sin embargo, si la rectificación genera un tributo por pagar (por ejemplo, de un saldo a favor a un pago omitido), sí habría multa, calculada sobre el tributo omitido y con rebaja.</w:t>
      </w:r>
    </w:p>
    <w:p w:rsidR="00000000" w:rsidDel="00000000" w:rsidP="00000000" w:rsidRDefault="00000000" w:rsidRPr="00000000" w14:paraId="0000001F">
      <w:pPr>
        <w:numPr>
          <w:ilvl w:val="0"/>
          <w:numId w:val="1"/>
        </w:numPr>
        <w:spacing w:after="160" w:lineRule="auto"/>
        <w:ind w:left="720" w:hanging="360"/>
      </w:pPr>
      <w:r w:rsidDel="00000000" w:rsidR="00000000" w:rsidRPr="00000000">
        <w:rPr>
          <w:b w:val="1"/>
          <w:rtl w:val="0"/>
        </w:rPr>
        <w:t xml:space="preserve">No Pagar Tributos Retenidos o Percibidos (Artículo 178 numeral 4)</w:t>
      </w:r>
      <w:r w:rsidDel="00000000" w:rsidR="00000000" w:rsidRPr="00000000">
        <w:rPr>
          <w:rtl w:val="0"/>
        </w:rPr>
        <w:t xml:space="preserve"> Censea Fiscal indicó que la infracción del artículo 178 numeral 4, que sanciona la no pago de tributos retenidos o percibidos en los plazos establecidos, conlleva una multa del 50% del tributo no pagado. Esta infracción tiene una gradualidad del 95% si la SUNAT no ha notificado nada y se paga la multa y se subsana la infracción.</w:t>
      </w:r>
    </w:p>
    <w:p w:rsidR="00000000" w:rsidDel="00000000" w:rsidP="00000000" w:rsidRDefault="00000000" w:rsidRPr="00000000" w14:paraId="00000020">
      <w:pPr>
        <w:numPr>
          <w:ilvl w:val="0"/>
          <w:numId w:val="1"/>
        </w:numPr>
        <w:spacing w:after="160" w:lineRule="auto"/>
        <w:ind w:left="720" w:hanging="360"/>
      </w:pPr>
      <w:r w:rsidDel="00000000" w:rsidR="00000000" w:rsidRPr="00000000">
        <w:rPr>
          <w:b w:val="1"/>
          <w:rtl w:val="0"/>
        </w:rPr>
        <w:t xml:space="preserve">Problemas con el Sistema SIRE y Posibles Implicaciones</w:t>
      </w:r>
      <w:r w:rsidDel="00000000" w:rsidR="00000000" w:rsidRPr="00000000">
        <w:rPr>
          <w:rtl w:val="0"/>
        </w:rPr>
        <w:t xml:space="preserve"> Andrea Danitsa Enriquez Laura compartió su experiencia con errores en el sistema SIRE, donde no podía excluir facturas de compra y la propuesta no se generaba correctamente. Censea Fiscal sugirió guardar las capturas de pantalla de los errores como evidencia y señaló que si la infracción se debe a un error de la administración, no debería haber sanción. Censea Fiscal mencionó que, aunque se genere un registro de compras con un monto mayor, si se declara el monto correcto, no debería haber multa, y se espera que la facultad discrecional del SIRE se amplíe debido a los problemas del sistema.</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i w:val="1"/>
          <w:color w:val="1155cc"/>
          <w:u w:val="single"/>
        </w:rPr>
      </w:pPr>
      <w:r w:rsidDel="00000000" w:rsidR="00000000" w:rsidRPr="00000000">
        <w:rPr>
          <w:i w:val="1"/>
          <w:color w:val="747775"/>
          <w:rtl w:val="0"/>
        </w:rPr>
        <w:t xml:space="preserve">Revisa las notas de Gemini para asegurarte de que sean correctas.</w:t>
      </w:r>
      <w:hyperlink r:id="rId6">
        <w:r w:rsidDel="00000000" w:rsidR="00000000" w:rsidRPr="00000000">
          <w:rPr>
            <w:i w:val="1"/>
            <w:color w:val="747775"/>
            <w:rtl w:val="0"/>
          </w:rPr>
          <w:t xml:space="preserve"> </w:t>
        </w:r>
      </w:hyperlink>
      <w:hyperlink r:id="rId7">
        <w:r w:rsidDel="00000000" w:rsidR="00000000" w:rsidRPr="00000000">
          <w:rPr>
            <w:i w:val="1"/>
            <w:color w:val="1155cc"/>
            <w:u w:val="single"/>
            <w:rtl w:val="0"/>
          </w:rPr>
          <w:t xml:space="preserve">Obtén consejos y descubre cómo toma notas Gemini</w:t>
        </w:r>
      </w:hyperlink>
      <w:r w:rsidDel="00000000" w:rsidR="00000000" w:rsidRPr="00000000">
        <w:rPr>
          <w:rtl w:val="0"/>
        </w:rPr>
      </w:r>
    </w:p>
    <w:p w:rsidR="00000000" w:rsidDel="00000000" w:rsidP="00000000" w:rsidRDefault="00000000" w:rsidRPr="00000000" w14:paraId="00000023">
      <w:pPr>
        <w:rPr/>
      </w:pPr>
      <w:r w:rsidDel="00000000" w:rsidR="00000000" w:rsidRPr="00000000">
        <w:rPr>
          <w:i w:val="1"/>
          <w:color w:val="747775"/>
          <w:rtl w:val="0"/>
        </w:rPr>
        <w:t xml:space="preserve">Danos tu opinión sobre el uso de Gemini para tomar notas en una</w:t>
      </w:r>
      <w:hyperlink r:id="rId8">
        <w:r w:rsidDel="00000000" w:rsidR="00000000" w:rsidRPr="00000000">
          <w:rPr>
            <w:i w:val="1"/>
            <w:color w:val="747775"/>
            <w:rtl w:val="0"/>
          </w:rPr>
          <w:t xml:space="preserve"> </w:t>
        </w:r>
      </w:hyperlink>
      <w:hyperlink r:id="rId9">
        <w:r w:rsidDel="00000000" w:rsidR="00000000" w:rsidRPr="00000000">
          <w:rPr>
            <w:i w:val="1"/>
            <w:color w:val="1155cc"/>
            <w:u w:val="single"/>
            <w:rtl w:val="0"/>
          </w:rPr>
          <w:t xml:space="preserve">breve encuesta.</w:t>
        </w:r>
      </w:hyperlink>
      <w:r w:rsidDel="00000000" w:rsidR="00000000" w:rsidRPr="00000000">
        <w:rPr>
          <w:rtl w:val="0"/>
        </w:rPr>
      </w:r>
    </w:p>
    <w:sectPr>
      <w:type w:val="nextPage"/>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color w:val="303030"/>
        <w:sz w:val="24"/>
        <w:szCs w:val="24"/>
        <w:lang w:val="es_419"/>
      </w:rPr>
    </w:rPrDefault>
    <w:pPrDefault>
      <w:pPr>
        <w:spacing w:after="8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276" w:lineRule="auto"/>
    </w:pPr>
    <w:rPr>
      <w:rFonts w:ascii="Roboto Medium" w:cs="Roboto Medium" w:eastAsia="Roboto Medium" w:hAnsi="Roboto Medium"/>
      <w:sz w:val="60"/>
      <w:szCs w:val="60"/>
    </w:rPr>
  </w:style>
  <w:style w:type="paragraph" w:styleId="Heading2">
    <w:name w:val="heading 2"/>
    <w:basedOn w:val="Normal"/>
    <w:next w:val="Normal"/>
    <w:pPr>
      <w:keepNext w:val="1"/>
      <w:keepLines w:val="1"/>
      <w:pageBreakBefore w:val="0"/>
      <w:spacing w:after="320" w:before="240" w:line="276" w:lineRule="auto"/>
    </w:pPr>
    <w:rPr>
      <w:rFonts w:ascii="Roboto Medium" w:cs="Roboto Medium" w:eastAsia="Roboto Medium" w:hAnsi="Roboto Medium"/>
      <w:b w:val="0"/>
      <w:sz w:val="56"/>
      <w:szCs w:val="56"/>
    </w:rPr>
  </w:style>
  <w:style w:type="paragraph" w:styleId="Heading3">
    <w:name w:val="heading 3"/>
    <w:basedOn w:val="Normal"/>
    <w:next w:val="Normal"/>
    <w:pPr>
      <w:keepNext w:val="1"/>
      <w:keepLines w:val="1"/>
      <w:pageBreakBefore w:val="0"/>
      <w:spacing w:after="40" w:before="0" w:line="276" w:lineRule="auto"/>
    </w:pPr>
    <w:rPr>
      <w:rFonts w:ascii="Roboto Medium" w:cs="Roboto Medium" w:eastAsia="Roboto Medium" w:hAnsi="Roboto Medium"/>
      <w:b w:val="0"/>
      <w:color w:val="1f1f1f"/>
      <w:sz w:val="32"/>
      <w:szCs w:val="32"/>
    </w:rPr>
  </w:style>
  <w:style w:type="paragraph" w:styleId="Heading4">
    <w:name w:val="heading 4"/>
    <w:basedOn w:val="Normal"/>
    <w:next w:val="Normal"/>
    <w:pPr>
      <w:keepNext w:val="1"/>
      <w:keepLines w:val="1"/>
      <w:pageBreakBefore w:val="0"/>
      <w:spacing w:after="160" w:before="80" w:line="276" w:lineRule="auto"/>
    </w:pPr>
    <w:rPr>
      <w:rFonts w:ascii="Roboto Medium" w:cs="Roboto Medium" w:eastAsia="Roboto Medium" w:hAnsi="Roboto Medium"/>
      <w:color w:val="434343"/>
      <w:sz w:val="28"/>
      <w:szCs w:val="28"/>
    </w:rPr>
  </w:style>
  <w:style w:type="paragraph" w:styleId="Heading5">
    <w:name w:val="heading 5"/>
    <w:basedOn w:val="Normal"/>
    <w:next w:val="Normal"/>
    <w:pPr>
      <w:keepNext w:val="1"/>
      <w:keepLines w:val="1"/>
      <w:pageBreakBefore w:val="0"/>
      <w:spacing w:after="80" w:before="0" w:line="276" w:lineRule="auto"/>
    </w:pPr>
    <w:rPr>
      <w:rFonts w:ascii="Roboto Medium" w:cs="Roboto Medium" w:eastAsia="Roboto Medium" w:hAnsi="Roboto Medium"/>
      <w:color w:val="1f1f1f"/>
      <w:sz w:val="24"/>
      <w:szCs w:val="24"/>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276" w:lineRule="auto"/>
    </w:pPr>
    <w:rPr>
      <w:rFonts w:ascii="Roboto Medium" w:cs="Roboto Medium" w:eastAsia="Roboto Medium" w:hAnsi="Roboto Medium"/>
      <w:sz w:val="64"/>
      <w:szCs w:val="64"/>
    </w:rPr>
  </w:style>
  <w:style w:type="paragraph" w:styleId="Subtitle">
    <w:name w:val="Subtitle"/>
    <w:basedOn w:val="Normal"/>
    <w:next w:val="Normal"/>
    <w:pPr>
      <w:keepNext w:val="1"/>
      <w:keepLines w:val="1"/>
      <w:pageBreakBefore w:val="0"/>
      <w:spacing w:after="320" w:before="0" w:line="276" w:lineRule="auto"/>
    </w:pPr>
    <w:rPr>
      <w:rFonts w:ascii="Roboto" w:cs="Roboto" w:eastAsia="Roboto" w:hAnsi="Roboto"/>
      <w:i w:val="0"/>
      <w:color w:val="1f1f1f"/>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oogle.qualtrics.com/jfe/form/SV_9vK3UZEaIQKKE7A?confid=pVbZ6kzMFkoBGY6qjKlBDxIQOAIIigIgABgFCA" TargetMode="External"/><Relationship Id="rId5" Type="http://schemas.openxmlformats.org/officeDocument/2006/relationships/styles" Target="styles.xml"/><Relationship Id="rId6" Type="http://schemas.openxmlformats.org/officeDocument/2006/relationships/hyperlink" Target="https://support.google.com/meet/answer/14754931" TargetMode="External"/><Relationship Id="rId7" Type="http://schemas.openxmlformats.org/officeDocument/2006/relationships/hyperlink" Target="https://support.google.com/meet/answer/14754931" TargetMode="External"/><Relationship Id="rId8" Type="http://schemas.openxmlformats.org/officeDocument/2006/relationships/hyperlink" Target="https://google.qualtrics.com/jfe/form/SV_9vK3UZEaIQKKE7A?confid=pVbZ6kzMFkoBGY6qjKlBDxIQOAIIigIgABgFC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RobotoMedium-regular.ttf"/><Relationship Id="rId6" Type="http://schemas.openxmlformats.org/officeDocument/2006/relationships/font" Target="fonts/RobotoMedium-bold.ttf"/><Relationship Id="rId7" Type="http://schemas.openxmlformats.org/officeDocument/2006/relationships/font" Target="fonts/RobotoMedium-italic.ttf"/><Relationship Id="rId8" Type="http://schemas.openxmlformats.org/officeDocument/2006/relationships/font" Target="fonts/Roboto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